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6743E2">
      <w:pPr>
        <w:rPr>
          <w:rFonts w:eastAsia="仿宋_GB2312" w:cs="仿宋_GB2312"/>
          <w:color w:val="auto"/>
          <w:sz w:val="36"/>
          <w:szCs w:val="36"/>
        </w:rPr>
      </w:pPr>
    </w:p>
    <w:p w14:paraId="1DFB4A81">
      <w:pPr>
        <w:rPr>
          <w:rFonts w:eastAsia="仿宋_GB2312" w:cs="仿宋_GB2312"/>
          <w:color w:val="auto"/>
          <w:sz w:val="36"/>
          <w:szCs w:val="36"/>
        </w:rPr>
      </w:pPr>
    </w:p>
    <w:p w14:paraId="7238D0D0">
      <w:pPr>
        <w:rPr>
          <w:rFonts w:eastAsia="仿宋_GB2312" w:cs="仿宋_GB2312"/>
          <w:color w:val="auto"/>
          <w:sz w:val="36"/>
          <w:szCs w:val="36"/>
        </w:rPr>
      </w:pPr>
    </w:p>
    <w:p w14:paraId="5FA73675">
      <w:pPr>
        <w:adjustRightInd w:val="0"/>
        <w:snapToGrid w:val="0"/>
        <w:jc w:val="center"/>
        <w:outlineLvl w:val="0"/>
        <w:rPr>
          <w:rFonts w:eastAsia="方正小标宋_GBK"/>
          <w:bCs/>
          <w:color w:val="auto"/>
          <w:sz w:val="72"/>
          <w:szCs w:val="72"/>
        </w:rPr>
      </w:pPr>
      <w:r>
        <w:rPr>
          <w:rFonts w:hint="eastAsia" w:eastAsia="方正小标宋_GBK"/>
          <w:bCs/>
          <w:color w:val="auto"/>
          <w:sz w:val="72"/>
          <w:szCs w:val="72"/>
        </w:rPr>
        <w:t>建设项目环境影响报告表</w:t>
      </w:r>
    </w:p>
    <w:p w14:paraId="3EB316E6">
      <w:pPr>
        <w:adjustRightInd w:val="0"/>
        <w:snapToGrid w:val="0"/>
        <w:spacing w:before="192" w:beforeLines="80"/>
        <w:jc w:val="center"/>
        <w:rPr>
          <w:rFonts w:eastAsia="楷体_GB2312"/>
          <w:bCs/>
          <w:color w:val="auto"/>
          <w:sz w:val="48"/>
          <w:szCs w:val="48"/>
        </w:rPr>
      </w:pPr>
      <w:r>
        <w:rPr>
          <w:rFonts w:hint="eastAsia" w:eastAsia="楷体_GB2312"/>
          <w:bCs/>
          <w:color w:val="auto"/>
          <w:sz w:val="48"/>
          <w:szCs w:val="48"/>
        </w:rPr>
        <w:t>（污染影响类）</w:t>
      </w:r>
    </w:p>
    <w:p w14:paraId="48584963">
      <w:pPr>
        <w:adjustRightInd w:val="0"/>
        <w:snapToGrid w:val="0"/>
        <w:spacing w:before="192" w:beforeLines="80"/>
        <w:jc w:val="center"/>
        <w:rPr>
          <w:rFonts w:hint="eastAsia" w:eastAsia="楷体_GB2312"/>
          <w:bCs/>
          <w:color w:val="auto"/>
          <w:sz w:val="36"/>
          <w:szCs w:val="36"/>
        </w:rPr>
      </w:pPr>
    </w:p>
    <w:p w14:paraId="2393C76D">
      <w:pPr>
        <w:adjustRightInd w:val="0"/>
        <w:snapToGrid w:val="0"/>
        <w:spacing w:before="192" w:beforeLines="80"/>
        <w:jc w:val="center"/>
        <w:rPr>
          <w:rFonts w:eastAsia="楷体_GB2312"/>
          <w:bCs/>
          <w:color w:val="auto"/>
          <w:sz w:val="48"/>
          <w:szCs w:val="48"/>
        </w:rPr>
      </w:pPr>
      <w:r>
        <w:rPr>
          <w:rFonts w:hint="eastAsia" w:eastAsia="楷体_GB2312"/>
          <w:bCs/>
          <w:color w:val="auto"/>
          <w:sz w:val="36"/>
          <w:szCs w:val="36"/>
        </w:rPr>
        <w:t>（</w:t>
      </w:r>
      <w:r>
        <w:rPr>
          <w:rFonts w:hint="eastAsia" w:eastAsia="楷体_GB2312"/>
          <w:bCs/>
          <w:color w:val="auto"/>
          <w:sz w:val="36"/>
          <w:szCs w:val="36"/>
          <w:lang w:val="en-US" w:eastAsia="zh-CN"/>
        </w:rPr>
        <w:t>公示</w:t>
      </w:r>
      <w:r>
        <w:rPr>
          <w:rFonts w:hint="eastAsia" w:eastAsia="楷体_GB2312"/>
          <w:bCs/>
          <w:color w:val="auto"/>
          <w:sz w:val="36"/>
          <w:szCs w:val="36"/>
        </w:rPr>
        <w:t>本）</w:t>
      </w:r>
    </w:p>
    <w:p w14:paraId="548817F2">
      <w:pPr>
        <w:adjustRightInd w:val="0"/>
        <w:snapToGrid w:val="0"/>
        <w:spacing w:line="288" w:lineRule="auto"/>
        <w:jc w:val="center"/>
        <w:rPr>
          <w:rFonts w:eastAsia="华文仿宋" w:cs="华文仿宋"/>
          <w:color w:val="auto"/>
          <w:kern w:val="44"/>
          <w:sz w:val="44"/>
          <w:szCs w:val="44"/>
        </w:rPr>
      </w:pPr>
    </w:p>
    <w:p w14:paraId="6A3A2373">
      <w:pPr>
        <w:jc w:val="center"/>
        <w:rPr>
          <w:rFonts w:eastAsia="仿宋"/>
          <w:color w:val="auto"/>
          <w:sz w:val="52"/>
          <w:szCs w:val="52"/>
        </w:rPr>
      </w:pPr>
    </w:p>
    <w:p w14:paraId="0BB7FEE7">
      <w:pPr>
        <w:pStyle w:val="2"/>
      </w:pPr>
    </w:p>
    <w:p w14:paraId="35D16246">
      <w:pPr>
        <w:ind w:firstLine="1040"/>
        <w:rPr>
          <w:rFonts w:eastAsia="仿宋"/>
          <w:color w:val="auto"/>
          <w:sz w:val="44"/>
          <w:szCs w:val="44"/>
        </w:rPr>
      </w:pPr>
    </w:p>
    <w:p w14:paraId="095664C8">
      <w:pPr>
        <w:ind w:firstLine="1040"/>
        <w:rPr>
          <w:rFonts w:eastAsia="仿宋"/>
          <w:color w:val="auto"/>
          <w:sz w:val="44"/>
          <w:szCs w:val="44"/>
        </w:rPr>
      </w:pPr>
    </w:p>
    <w:p w14:paraId="3183EF18">
      <w:pPr>
        <w:ind w:firstLine="1040"/>
        <w:rPr>
          <w:rFonts w:eastAsia="仿宋"/>
          <w:color w:val="auto"/>
          <w:sz w:val="44"/>
          <w:szCs w:val="44"/>
        </w:rPr>
      </w:pPr>
    </w:p>
    <w:tbl>
      <w:tblPr>
        <w:tblStyle w:val="13"/>
        <w:tblW w:w="0" w:type="auto"/>
        <w:jc w:val="center"/>
        <w:tblLayout w:type="fixed"/>
        <w:tblCellMar>
          <w:top w:w="0" w:type="dxa"/>
          <w:left w:w="108" w:type="dxa"/>
          <w:bottom w:w="0" w:type="dxa"/>
          <w:right w:w="108" w:type="dxa"/>
        </w:tblCellMar>
      </w:tblPr>
      <w:tblGrid>
        <w:gridCol w:w="2032"/>
        <w:gridCol w:w="4425"/>
      </w:tblGrid>
      <w:tr w14:paraId="32C527AF">
        <w:tblPrEx>
          <w:tblCellMar>
            <w:top w:w="0" w:type="dxa"/>
            <w:left w:w="108" w:type="dxa"/>
            <w:bottom w:w="0" w:type="dxa"/>
            <w:right w:w="108" w:type="dxa"/>
          </w:tblCellMar>
        </w:tblPrEx>
        <w:trPr>
          <w:trHeight w:val="170" w:hRule="atLeast"/>
          <w:jc w:val="center"/>
        </w:trPr>
        <w:tc>
          <w:tcPr>
            <w:tcW w:w="2032" w:type="dxa"/>
            <w:vAlign w:val="center"/>
          </w:tcPr>
          <w:p w14:paraId="55574701">
            <w:pPr>
              <w:keepNext w:val="0"/>
              <w:keepLines w:val="0"/>
              <w:suppressLineNumbers w:val="0"/>
              <w:adjustRightInd w:val="0"/>
              <w:snapToGrid w:val="0"/>
              <w:spacing w:before="0" w:beforeAutospacing="0" w:after="0" w:afterAutospacing="0" w:line="288" w:lineRule="auto"/>
              <w:ind w:left="0" w:right="0"/>
              <w:jc w:val="center"/>
              <w:rPr>
                <w:rFonts w:hint="default" w:eastAsia="仿宋_GB2312"/>
                <w:color w:val="auto"/>
                <w:spacing w:val="30"/>
                <w:sz w:val="32"/>
                <w:szCs w:val="32"/>
              </w:rPr>
            </w:pPr>
            <w:r>
              <w:rPr>
                <w:rFonts w:hint="default" w:eastAsia="仿宋_GB2312"/>
                <w:color w:val="auto"/>
                <w:spacing w:val="30"/>
                <w:sz w:val="32"/>
                <w:szCs w:val="32"/>
              </w:rPr>
              <w:t>项目名称</w:t>
            </w:r>
            <w:r>
              <w:rPr>
                <w:rFonts w:hint="eastAsia" w:eastAsia="仿宋_GB2312"/>
                <w:color w:val="auto"/>
                <w:spacing w:val="30"/>
                <w:sz w:val="32"/>
                <w:szCs w:val="32"/>
              </w:rPr>
              <w:t>：</w:t>
            </w:r>
          </w:p>
        </w:tc>
        <w:tc>
          <w:tcPr>
            <w:tcW w:w="4425" w:type="dxa"/>
            <w:vAlign w:val="center"/>
          </w:tcPr>
          <w:p w14:paraId="29D105A8">
            <w:pPr>
              <w:keepNext w:val="0"/>
              <w:keepLines w:val="0"/>
              <w:suppressLineNumbers w:val="0"/>
              <w:adjustRightInd w:val="0"/>
              <w:snapToGrid w:val="0"/>
              <w:spacing w:before="0" w:beforeAutospacing="0" w:after="0" w:afterAutospacing="0" w:line="288" w:lineRule="auto"/>
              <w:ind w:left="0" w:right="0"/>
              <w:jc w:val="left"/>
              <w:rPr>
                <w:rFonts w:hint="default" w:eastAsia="仿宋_GB2312"/>
                <w:color w:val="auto"/>
                <w:spacing w:val="12"/>
                <w:sz w:val="32"/>
                <w:szCs w:val="32"/>
                <w:u w:val="single"/>
              </w:rPr>
            </w:pPr>
            <w:r>
              <w:rPr>
                <w:rFonts w:hint="eastAsia" w:eastAsia="仿宋_GB2312"/>
                <w:color w:val="auto"/>
                <w:spacing w:val="-20"/>
                <w:sz w:val="32"/>
                <w:szCs w:val="32"/>
                <w:u w:val="single"/>
              </w:rPr>
              <w:t xml:space="preserve">    达州德仁中医医院建设项</w:t>
            </w:r>
            <w:r>
              <w:rPr>
                <w:rFonts w:hint="default" w:eastAsia="仿宋_GB2312"/>
                <w:color w:val="auto"/>
                <w:spacing w:val="12"/>
                <w:sz w:val="32"/>
                <w:szCs w:val="32"/>
                <w:u w:val="single"/>
              </w:rPr>
              <w:t>目</w:t>
            </w:r>
            <w:r>
              <w:rPr>
                <w:rFonts w:hint="eastAsia" w:eastAsia="仿宋_GB2312"/>
                <w:color w:val="auto"/>
                <w:spacing w:val="12"/>
                <w:sz w:val="32"/>
                <w:szCs w:val="32"/>
                <w:u w:val="single"/>
              </w:rPr>
              <w:t xml:space="preserve">              </w:t>
            </w:r>
          </w:p>
        </w:tc>
      </w:tr>
      <w:tr w14:paraId="6CBAB9BC">
        <w:tblPrEx>
          <w:tblCellMar>
            <w:top w:w="0" w:type="dxa"/>
            <w:left w:w="108" w:type="dxa"/>
            <w:bottom w:w="0" w:type="dxa"/>
            <w:right w:w="108" w:type="dxa"/>
          </w:tblCellMar>
        </w:tblPrEx>
        <w:trPr>
          <w:trHeight w:val="176" w:hRule="atLeast"/>
          <w:jc w:val="center"/>
        </w:trPr>
        <w:tc>
          <w:tcPr>
            <w:tcW w:w="2032" w:type="dxa"/>
            <w:vAlign w:val="center"/>
          </w:tcPr>
          <w:p w14:paraId="0709C955">
            <w:pPr>
              <w:keepNext w:val="0"/>
              <w:keepLines w:val="0"/>
              <w:suppressLineNumbers w:val="0"/>
              <w:adjustRightInd w:val="0"/>
              <w:spacing w:before="0" w:beforeAutospacing="0" w:after="0" w:afterAutospacing="0" w:line="288" w:lineRule="auto"/>
              <w:ind w:left="0" w:right="0"/>
              <w:jc w:val="center"/>
              <w:rPr>
                <w:rFonts w:hint="default" w:eastAsia="黑体"/>
                <w:bCs/>
                <w:color w:val="auto"/>
                <w:sz w:val="32"/>
                <w:szCs w:val="32"/>
              </w:rPr>
            </w:pPr>
          </w:p>
        </w:tc>
        <w:tc>
          <w:tcPr>
            <w:tcW w:w="4425" w:type="dxa"/>
            <w:vAlign w:val="center"/>
          </w:tcPr>
          <w:p w14:paraId="1361B1BE">
            <w:pPr>
              <w:keepNext w:val="0"/>
              <w:keepLines w:val="0"/>
              <w:suppressLineNumbers w:val="0"/>
              <w:adjustRightInd w:val="0"/>
              <w:spacing w:before="0" w:beforeAutospacing="0" w:after="0" w:afterAutospacing="0" w:line="288" w:lineRule="auto"/>
              <w:ind w:left="0" w:right="0"/>
              <w:jc w:val="center"/>
              <w:rPr>
                <w:rFonts w:hint="default" w:eastAsia="黑体"/>
                <w:bCs/>
                <w:color w:val="auto"/>
                <w:sz w:val="32"/>
                <w:szCs w:val="32"/>
              </w:rPr>
            </w:pPr>
          </w:p>
        </w:tc>
      </w:tr>
      <w:tr w14:paraId="021024C3">
        <w:tblPrEx>
          <w:tblCellMar>
            <w:top w:w="0" w:type="dxa"/>
            <w:left w:w="108" w:type="dxa"/>
            <w:bottom w:w="0" w:type="dxa"/>
            <w:right w:w="108" w:type="dxa"/>
          </w:tblCellMar>
        </w:tblPrEx>
        <w:trPr>
          <w:trHeight w:val="176" w:hRule="atLeast"/>
          <w:jc w:val="center"/>
        </w:trPr>
        <w:tc>
          <w:tcPr>
            <w:tcW w:w="2032" w:type="dxa"/>
            <w:vAlign w:val="center"/>
          </w:tcPr>
          <w:p w14:paraId="5B521729">
            <w:pPr>
              <w:keepNext w:val="0"/>
              <w:keepLines w:val="0"/>
              <w:suppressLineNumbers w:val="0"/>
              <w:adjustRightInd w:val="0"/>
              <w:snapToGrid w:val="0"/>
              <w:spacing w:before="0" w:beforeAutospacing="0" w:after="0" w:afterAutospacing="0" w:line="288" w:lineRule="auto"/>
              <w:ind w:left="0" w:right="0"/>
              <w:jc w:val="center"/>
              <w:rPr>
                <w:rFonts w:hint="default" w:eastAsia="仿宋_GB2312"/>
                <w:color w:val="auto"/>
                <w:spacing w:val="-30"/>
                <w:sz w:val="32"/>
                <w:szCs w:val="32"/>
              </w:rPr>
            </w:pPr>
            <w:r>
              <w:rPr>
                <w:rFonts w:hint="default" w:eastAsia="仿宋_GB2312"/>
                <w:color w:val="auto"/>
                <w:spacing w:val="-30"/>
                <w:sz w:val="32"/>
                <w:szCs w:val="32"/>
              </w:rPr>
              <w:t>建设单位(盖章):</w:t>
            </w:r>
          </w:p>
        </w:tc>
        <w:tc>
          <w:tcPr>
            <w:tcW w:w="4425" w:type="dxa"/>
            <w:vAlign w:val="center"/>
          </w:tcPr>
          <w:p w14:paraId="49711FAE">
            <w:pPr>
              <w:keepNext w:val="0"/>
              <w:keepLines w:val="0"/>
              <w:suppressLineNumbers w:val="0"/>
              <w:adjustRightInd w:val="0"/>
              <w:snapToGrid w:val="0"/>
              <w:spacing w:before="0" w:beforeAutospacing="0" w:after="0" w:afterAutospacing="0" w:line="288" w:lineRule="auto"/>
              <w:ind w:left="0" w:right="0"/>
              <w:jc w:val="left"/>
              <w:rPr>
                <w:rFonts w:hint="default" w:eastAsia="仿宋_GB2312"/>
                <w:color w:val="auto"/>
                <w:spacing w:val="-14"/>
                <w:sz w:val="32"/>
                <w:szCs w:val="32"/>
                <w:u w:val="single"/>
              </w:rPr>
            </w:pPr>
            <w:r>
              <w:rPr>
                <w:rFonts w:hint="eastAsia" w:eastAsia="仿宋_GB2312"/>
                <w:color w:val="auto"/>
                <w:spacing w:val="-14"/>
                <w:sz w:val="32"/>
                <w:szCs w:val="32"/>
                <w:u w:val="single"/>
              </w:rPr>
              <w:t xml:space="preserve">    </w:t>
            </w:r>
            <w:r>
              <w:rPr>
                <w:rFonts w:hint="default" w:eastAsia="仿宋_GB2312"/>
                <w:color w:val="auto"/>
                <w:spacing w:val="-14"/>
                <w:sz w:val="32"/>
                <w:szCs w:val="32"/>
                <w:u w:val="single"/>
              </w:rPr>
              <w:t>达州</w:t>
            </w:r>
            <w:r>
              <w:rPr>
                <w:rFonts w:hint="eastAsia" w:eastAsia="仿宋_GB2312"/>
                <w:color w:val="auto"/>
                <w:spacing w:val="-14"/>
                <w:sz w:val="32"/>
                <w:szCs w:val="32"/>
                <w:u w:val="single"/>
              </w:rPr>
              <w:t>德仁中医</w:t>
            </w:r>
            <w:r>
              <w:rPr>
                <w:rFonts w:hint="default" w:eastAsia="仿宋_GB2312"/>
                <w:color w:val="auto"/>
                <w:spacing w:val="-14"/>
                <w:sz w:val="32"/>
                <w:szCs w:val="32"/>
                <w:u w:val="single"/>
              </w:rPr>
              <w:t>医院有限公司</w:t>
            </w:r>
            <w:r>
              <w:rPr>
                <w:rFonts w:hint="eastAsia" w:eastAsia="仿宋_GB2312"/>
                <w:color w:val="auto"/>
                <w:spacing w:val="-14"/>
                <w:sz w:val="32"/>
                <w:szCs w:val="32"/>
                <w:u w:val="single"/>
              </w:rPr>
              <w:t xml:space="preserve">                 </w:t>
            </w:r>
          </w:p>
        </w:tc>
      </w:tr>
      <w:tr w14:paraId="1AF302EB">
        <w:tblPrEx>
          <w:tblCellMar>
            <w:top w:w="0" w:type="dxa"/>
            <w:left w:w="108" w:type="dxa"/>
            <w:bottom w:w="0" w:type="dxa"/>
            <w:right w:w="108" w:type="dxa"/>
          </w:tblCellMar>
        </w:tblPrEx>
        <w:trPr>
          <w:trHeight w:val="176" w:hRule="atLeast"/>
          <w:jc w:val="center"/>
        </w:trPr>
        <w:tc>
          <w:tcPr>
            <w:tcW w:w="2032" w:type="dxa"/>
            <w:vAlign w:val="center"/>
          </w:tcPr>
          <w:p w14:paraId="0DBA8C4E">
            <w:pPr>
              <w:keepNext w:val="0"/>
              <w:keepLines w:val="0"/>
              <w:suppressLineNumbers w:val="0"/>
              <w:adjustRightInd w:val="0"/>
              <w:snapToGrid w:val="0"/>
              <w:spacing w:before="0" w:beforeAutospacing="0" w:after="0" w:afterAutospacing="0" w:line="288" w:lineRule="auto"/>
              <w:ind w:left="0" w:right="0"/>
              <w:jc w:val="center"/>
              <w:rPr>
                <w:rFonts w:hint="default" w:eastAsia="仿宋_GB2312"/>
                <w:color w:val="auto"/>
                <w:sz w:val="32"/>
                <w:szCs w:val="32"/>
              </w:rPr>
            </w:pPr>
          </w:p>
        </w:tc>
        <w:tc>
          <w:tcPr>
            <w:tcW w:w="4425" w:type="dxa"/>
            <w:vAlign w:val="center"/>
          </w:tcPr>
          <w:p w14:paraId="0C78CC6C">
            <w:pPr>
              <w:keepNext w:val="0"/>
              <w:keepLines w:val="0"/>
              <w:suppressLineNumbers w:val="0"/>
              <w:adjustRightInd w:val="0"/>
              <w:snapToGrid w:val="0"/>
              <w:spacing w:before="0" w:beforeAutospacing="0" w:after="0" w:afterAutospacing="0" w:line="288" w:lineRule="auto"/>
              <w:ind w:left="0" w:right="0" w:firstLine="1040"/>
              <w:jc w:val="center"/>
              <w:rPr>
                <w:rFonts w:hint="default" w:eastAsia="仿宋_GB2312"/>
                <w:color w:val="auto"/>
                <w:sz w:val="32"/>
                <w:szCs w:val="32"/>
              </w:rPr>
            </w:pPr>
          </w:p>
        </w:tc>
      </w:tr>
      <w:tr w14:paraId="5F98C1D8">
        <w:tblPrEx>
          <w:tblCellMar>
            <w:top w:w="0" w:type="dxa"/>
            <w:left w:w="108" w:type="dxa"/>
            <w:bottom w:w="0" w:type="dxa"/>
            <w:right w:w="108" w:type="dxa"/>
          </w:tblCellMar>
        </w:tblPrEx>
        <w:trPr>
          <w:trHeight w:val="176" w:hRule="atLeast"/>
          <w:jc w:val="center"/>
        </w:trPr>
        <w:tc>
          <w:tcPr>
            <w:tcW w:w="2032" w:type="dxa"/>
            <w:vAlign w:val="center"/>
          </w:tcPr>
          <w:p w14:paraId="6DB56FD6">
            <w:pPr>
              <w:keepNext w:val="0"/>
              <w:keepLines w:val="0"/>
              <w:suppressLineNumbers w:val="0"/>
              <w:adjustRightInd w:val="0"/>
              <w:snapToGrid w:val="0"/>
              <w:spacing w:before="0" w:beforeAutospacing="0" w:after="0" w:afterAutospacing="0" w:line="288" w:lineRule="auto"/>
              <w:ind w:left="0" w:right="0"/>
              <w:jc w:val="center"/>
              <w:rPr>
                <w:rFonts w:hint="default" w:eastAsia="仿宋_GB2312"/>
                <w:color w:val="auto"/>
                <w:spacing w:val="30"/>
                <w:sz w:val="32"/>
                <w:szCs w:val="32"/>
              </w:rPr>
            </w:pPr>
            <w:r>
              <w:rPr>
                <w:rFonts w:hint="default" w:eastAsia="仿宋_GB2312"/>
                <w:color w:val="auto"/>
                <w:spacing w:val="30"/>
                <w:sz w:val="32"/>
                <w:szCs w:val="32"/>
              </w:rPr>
              <w:t>编制日期：</w:t>
            </w:r>
          </w:p>
        </w:tc>
        <w:tc>
          <w:tcPr>
            <w:tcW w:w="4425" w:type="dxa"/>
            <w:vAlign w:val="center"/>
          </w:tcPr>
          <w:p w14:paraId="228B9C4D">
            <w:pPr>
              <w:keepNext w:val="0"/>
              <w:keepLines w:val="0"/>
              <w:suppressLineNumbers w:val="0"/>
              <w:adjustRightInd w:val="0"/>
              <w:snapToGrid w:val="0"/>
              <w:spacing w:before="0" w:beforeAutospacing="0" w:after="0" w:afterAutospacing="0" w:line="288" w:lineRule="auto"/>
              <w:ind w:left="0" w:right="0"/>
              <w:rPr>
                <w:rFonts w:hint="default" w:eastAsia="仿宋_GB2312"/>
                <w:color w:val="auto"/>
                <w:sz w:val="32"/>
                <w:szCs w:val="32"/>
                <w:u w:val="single"/>
              </w:rPr>
            </w:pPr>
            <w:r>
              <w:rPr>
                <w:rFonts w:hint="default" w:eastAsia="仿宋_GB2312"/>
                <w:color w:val="auto"/>
                <w:sz w:val="32"/>
                <w:szCs w:val="32"/>
                <w:u w:val="single"/>
              </w:rPr>
              <w:t xml:space="preserve">       </w:t>
            </w:r>
            <w:r>
              <w:rPr>
                <w:rFonts w:hint="eastAsia" w:eastAsia="仿宋_GB2312"/>
                <w:color w:val="auto"/>
                <w:sz w:val="32"/>
                <w:szCs w:val="32"/>
                <w:u w:val="single"/>
              </w:rPr>
              <w:t xml:space="preserve"> </w:t>
            </w:r>
            <w:r>
              <w:rPr>
                <w:rFonts w:hint="default" w:eastAsia="仿宋_GB2312"/>
                <w:color w:val="auto"/>
                <w:sz w:val="32"/>
                <w:szCs w:val="32"/>
                <w:u w:val="single"/>
              </w:rPr>
              <w:t>202</w:t>
            </w:r>
            <w:r>
              <w:rPr>
                <w:rFonts w:hint="eastAsia" w:eastAsia="仿宋_GB2312"/>
                <w:color w:val="auto"/>
                <w:sz w:val="32"/>
                <w:szCs w:val="32"/>
                <w:u w:val="single"/>
              </w:rPr>
              <w:t>3</w:t>
            </w:r>
            <w:r>
              <w:rPr>
                <w:rFonts w:hint="default" w:eastAsia="仿宋_GB2312"/>
                <w:color w:val="auto"/>
                <w:sz w:val="32"/>
                <w:szCs w:val="32"/>
                <w:u w:val="single"/>
              </w:rPr>
              <w:t>年</w:t>
            </w:r>
            <w:r>
              <w:rPr>
                <w:rFonts w:hint="eastAsia" w:eastAsia="仿宋_GB2312"/>
                <w:color w:val="auto"/>
                <w:sz w:val="32"/>
                <w:szCs w:val="32"/>
                <w:u w:val="single"/>
              </w:rPr>
              <w:t>1</w:t>
            </w:r>
            <w:r>
              <w:rPr>
                <w:rFonts w:hint="default" w:eastAsia="仿宋_GB2312"/>
                <w:color w:val="auto"/>
                <w:sz w:val="32"/>
                <w:szCs w:val="32"/>
                <w:u w:val="single"/>
              </w:rPr>
              <w:t>月</w:t>
            </w:r>
            <w:r>
              <w:rPr>
                <w:rFonts w:hint="eastAsia" w:eastAsia="仿宋_GB2312"/>
                <w:color w:val="auto"/>
                <w:sz w:val="32"/>
                <w:szCs w:val="32"/>
                <w:u w:val="single"/>
              </w:rPr>
              <w:t xml:space="preserve"> </w:t>
            </w:r>
            <w:r>
              <w:rPr>
                <w:rFonts w:hint="default" w:eastAsia="仿宋_GB2312"/>
                <w:color w:val="auto"/>
                <w:sz w:val="32"/>
                <w:szCs w:val="32"/>
                <w:u w:val="single"/>
              </w:rPr>
              <w:t xml:space="preserve">        </w:t>
            </w:r>
            <w:r>
              <w:rPr>
                <w:rFonts w:hint="eastAsia" w:eastAsia="仿宋_GB2312"/>
                <w:color w:val="auto"/>
                <w:sz w:val="32"/>
                <w:szCs w:val="32"/>
                <w:u w:val="single"/>
              </w:rPr>
              <w:t xml:space="preserve"> </w:t>
            </w:r>
            <w:r>
              <w:rPr>
                <w:rFonts w:hint="default" w:eastAsia="仿宋_GB2312"/>
                <w:color w:val="auto"/>
                <w:sz w:val="32"/>
                <w:szCs w:val="32"/>
                <w:u w:val="single"/>
              </w:rPr>
              <w:t xml:space="preserve">   </w:t>
            </w:r>
          </w:p>
        </w:tc>
      </w:tr>
    </w:tbl>
    <w:p w14:paraId="43282E29">
      <w:pPr>
        <w:ind w:firstLine="1040"/>
        <w:rPr>
          <w:rFonts w:eastAsia="仿宋"/>
          <w:color w:val="auto"/>
          <w:sz w:val="44"/>
          <w:szCs w:val="44"/>
        </w:rPr>
      </w:pPr>
    </w:p>
    <w:p w14:paraId="15921E0A">
      <w:pPr>
        <w:adjustRightInd w:val="0"/>
        <w:snapToGrid w:val="0"/>
        <w:spacing w:line="288" w:lineRule="auto"/>
        <w:ind w:firstLine="1040"/>
        <w:rPr>
          <w:rFonts w:eastAsia="仿宋_GB2312"/>
          <w:color w:val="auto"/>
          <w:sz w:val="36"/>
          <w:szCs w:val="36"/>
          <w:u w:val="single"/>
        </w:rPr>
      </w:pPr>
      <w:bookmarkStart w:id="0" w:name="_Hlk57884087"/>
    </w:p>
    <w:p w14:paraId="3FF5AAD3">
      <w:pPr>
        <w:adjustRightInd w:val="0"/>
        <w:snapToGrid w:val="0"/>
        <w:spacing w:line="288" w:lineRule="auto"/>
        <w:ind w:firstLine="1040"/>
        <w:rPr>
          <w:rFonts w:eastAsia="仿宋_GB2312"/>
          <w:color w:val="auto"/>
          <w:sz w:val="36"/>
          <w:szCs w:val="36"/>
        </w:rPr>
      </w:pPr>
    </w:p>
    <w:p w14:paraId="7F681E4D">
      <w:pPr>
        <w:pStyle w:val="2"/>
        <w:rPr>
          <w:color w:val="auto"/>
        </w:rPr>
      </w:pPr>
    </w:p>
    <w:bookmarkEnd w:id="0"/>
    <w:p w14:paraId="2CA60EBA">
      <w:pPr>
        <w:adjustRightInd w:val="0"/>
        <w:snapToGrid w:val="0"/>
        <w:spacing w:line="288" w:lineRule="auto"/>
        <w:jc w:val="center"/>
        <w:rPr>
          <w:rFonts w:eastAsia="楷体_GB2312"/>
          <w:color w:val="auto"/>
          <w:sz w:val="36"/>
          <w:szCs w:val="36"/>
        </w:rPr>
      </w:pPr>
      <w:r>
        <w:rPr>
          <w:rFonts w:hint="eastAsia" w:eastAsia="楷体_GB2312"/>
          <w:color w:val="auto"/>
          <w:sz w:val="36"/>
          <w:szCs w:val="36"/>
        </w:rPr>
        <w:t>中华人民共和国生态环境部  制</w:t>
      </w:r>
    </w:p>
    <w:p w14:paraId="78CD4B94">
      <w:pPr>
        <w:widowControl/>
        <w:spacing w:line="288" w:lineRule="auto"/>
        <w:jc w:val="left"/>
        <w:rPr>
          <w:rFonts w:eastAsia="仿宋_GB2312"/>
          <w:color w:val="auto"/>
          <w:sz w:val="36"/>
          <w:szCs w:val="36"/>
        </w:rPr>
        <w:sectPr>
          <w:pgSz w:w="11906" w:h="16838"/>
          <w:pgMar w:top="1701" w:right="1531" w:bottom="1701" w:left="1531" w:header="851" w:footer="1077" w:gutter="0"/>
          <w:pgNumType w:fmt="numberInDash" w:start="3"/>
          <w:cols w:space="720" w:num="1"/>
        </w:sectPr>
      </w:pPr>
    </w:p>
    <w:p w14:paraId="375D12CF">
      <w:pPr>
        <w:pStyle w:val="12"/>
        <w:jc w:val="center"/>
        <w:outlineLvl w:val="0"/>
        <w:rPr>
          <w:rFonts w:ascii="Times New Roman" w:hAnsi="Times New Roman" w:eastAsia="黑体"/>
          <w:snapToGrid w:val="0"/>
          <w:color w:val="auto"/>
          <w:sz w:val="30"/>
          <w:szCs w:val="30"/>
        </w:rPr>
      </w:pPr>
      <w:r>
        <w:rPr>
          <w:rFonts w:hint="eastAsia" w:ascii="Times New Roman" w:hAnsi="Times New Roman" w:eastAsia="黑体"/>
          <w:snapToGrid w:val="0"/>
          <w:color w:val="auto"/>
          <w:sz w:val="30"/>
          <w:szCs w:val="30"/>
        </w:rPr>
        <w:t>一、建设项目基本情况</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81"/>
        <w:gridCol w:w="1738"/>
        <w:gridCol w:w="389"/>
        <w:gridCol w:w="1823"/>
        <w:gridCol w:w="2639"/>
      </w:tblGrid>
      <w:tr w14:paraId="6B6600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tcBorders>
              <w:top w:val="single" w:color="auto" w:sz="8" w:space="0"/>
              <w:left w:val="single" w:color="auto" w:sz="8" w:space="0"/>
              <w:bottom w:val="single" w:color="auto" w:sz="4" w:space="0"/>
              <w:right w:val="single" w:color="auto" w:sz="4" w:space="0"/>
            </w:tcBorders>
            <w:tcMar>
              <w:top w:w="16" w:type="dxa"/>
              <w:left w:w="16" w:type="dxa"/>
              <w:bottom w:w="0" w:type="dxa"/>
              <w:right w:w="16" w:type="dxa"/>
            </w:tcMar>
            <w:vAlign w:val="center"/>
          </w:tcPr>
          <w:p w14:paraId="52DEAF58">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建设项目名称</w:t>
            </w:r>
          </w:p>
        </w:tc>
        <w:tc>
          <w:tcPr>
            <w:tcW w:w="6589" w:type="dxa"/>
            <w:gridSpan w:val="4"/>
            <w:tcBorders>
              <w:top w:val="single" w:color="auto" w:sz="8" w:space="0"/>
              <w:left w:val="single" w:color="auto" w:sz="4" w:space="0"/>
              <w:bottom w:val="single" w:color="auto" w:sz="4" w:space="0"/>
              <w:right w:val="single" w:color="auto" w:sz="8" w:space="0"/>
            </w:tcBorders>
            <w:vAlign w:val="center"/>
          </w:tcPr>
          <w:p w14:paraId="2A78CE8D">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olor w:val="auto"/>
                <w:szCs w:val="21"/>
              </w:rPr>
              <w:t>达州德仁中医医院</w:t>
            </w:r>
            <w:r>
              <w:rPr>
                <w:rFonts w:hint="default"/>
                <w:color w:val="auto"/>
                <w:szCs w:val="21"/>
              </w:rPr>
              <w:t>建设项目</w:t>
            </w:r>
          </w:p>
        </w:tc>
      </w:tr>
      <w:tr w14:paraId="6B0E83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1EB18819">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项目代码</w:t>
            </w:r>
          </w:p>
        </w:tc>
        <w:tc>
          <w:tcPr>
            <w:tcW w:w="6589" w:type="dxa"/>
            <w:gridSpan w:val="4"/>
            <w:tcBorders>
              <w:top w:val="single" w:color="auto" w:sz="4" w:space="0"/>
              <w:left w:val="single" w:color="auto" w:sz="4" w:space="0"/>
              <w:bottom w:val="single" w:color="auto" w:sz="4" w:space="0"/>
              <w:right w:val="single" w:color="auto" w:sz="8" w:space="0"/>
            </w:tcBorders>
            <w:vAlign w:val="center"/>
          </w:tcPr>
          <w:p w14:paraId="29101DBF">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w:t>
            </w:r>
          </w:p>
        </w:tc>
      </w:tr>
      <w:tr w14:paraId="3B82ED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37A5A1F1">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建设单位联系人</w:t>
            </w:r>
          </w:p>
        </w:tc>
        <w:tc>
          <w:tcPr>
            <w:tcW w:w="1738" w:type="dxa"/>
            <w:tcBorders>
              <w:top w:val="single" w:color="auto" w:sz="4" w:space="0"/>
              <w:left w:val="single" w:color="auto" w:sz="4" w:space="0"/>
              <w:bottom w:val="single" w:color="auto" w:sz="4" w:space="0"/>
              <w:right w:val="single" w:color="auto" w:sz="4" w:space="0"/>
            </w:tcBorders>
            <w:vAlign w:val="center"/>
          </w:tcPr>
          <w:p w14:paraId="07211527">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余兴全</w:t>
            </w:r>
          </w:p>
        </w:tc>
        <w:tc>
          <w:tcPr>
            <w:tcW w:w="2212" w:type="dxa"/>
            <w:gridSpan w:val="2"/>
            <w:tcBorders>
              <w:top w:val="single" w:color="auto" w:sz="4" w:space="0"/>
              <w:left w:val="single" w:color="auto" w:sz="4" w:space="0"/>
              <w:bottom w:val="single" w:color="auto" w:sz="4" w:space="0"/>
              <w:right w:val="single" w:color="auto" w:sz="4" w:space="0"/>
            </w:tcBorders>
            <w:vAlign w:val="center"/>
          </w:tcPr>
          <w:p w14:paraId="08E2507F">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联系方式</w:t>
            </w:r>
          </w:p>
        </w:tc>
        <w:tc>
          <w:tcPr>
            <w:tcW w:w="2639" w:type="dxa"/>
            <w:tcBorders>
              <w:top w:val="single" w:color="auto" w:sz="4" w:space="0"/>
              <w:left w:val="single" w:color="auto" w:sz="4" w:space="0"/>
              <w:bottom w:val="single" w:color="auto" w:sz="4" w:space="0"/>
              <w:right w:val="single" w:color="auto" w:sz="8" w:space="0"/>
            </w:tcBorders>
            <w:vAlign w:val="center"/>
          </w:tcPr>
          <w:p w14:paraId="12892A65">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15328919951</w:t>
            </w:r>
          </w:p>
        </w:tc>
      </w:tr>
      <w:tr w14:paraId="5C6D4B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58522A8F">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建设地点</w:t>
            </w:r>
          </w:p>
        </w:tc>
        <w:tc>
          <w:tcPr>
            <w:tcW w:w="6589" w:type="dxa"/>
            <w:gridSpan w:val="4"/>
            <w:tcBorders>
              <w:top w:val="single" w:color="auto" w:sz="4" w:space="0"/>
              <w:left w:val="single" w:color="auto" w:sz="4" w:space="0"/>
              <w:bottom w:val="single" w:color="auto" w:sz="4" w:space="0"/>
              <w:right w:val="single" w:color="auto" w:sz="8" w:space="0"/>
            </w:tcBorders>
            <w:vAlign w:val="center"/>
          </w:tcPr>
          <w:p w14:paraId="6E35817F">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u w:val="single"/>
              </w:rPr>
              <w:t xml:space="preserve">  四川 </w:t>
            </w:r>
            <w:r>
              <w:rPr>
                <w:rFonts w:hint="eastAsia" w:cs="宋体"/>
                <w:color w:val="auto"/>
                <w:szCs w:val="21"/>
              </w:rPr>
              <w:t>省</w:t>
            </w:r>
            <w:r>
              <w:rPr>
                <w:rFonts w:hint="eastAsia" w:cs="宋体"/>
                <w:color w:val="auto"/>
                <w:szCs w:val="21"/>
                <w:u w:val="single"/>
              </w:rPr>
              <w:t xml:space="preserve"> 达州 </w:t>
            </w:r>
            <w:r>
              <w:rPr>
                <w:rFonts w:hint="eastAsia" w:cs="宋体"/>
                <w:color w:val="auto"/>
                <w:szCs w:val="21"/>
              </w:rPr>
              <w:t>市</w:t>
            </w:r>
            <w:r>
              <w:rPr>
                <w:rFonts w:hint="eastAsia" w:cs="宋体"/>
                <w:color w:val="auto"/>
                <w:szCs w:val="21"/>
                <w:u w:val="single"/>
              </w:rPr>
              <w:t xml:space="preserve"> 通川 </w:t>
            </w:r>
            <w:r>
              <w:rPr>
                <w:rFonts w:hint="eastAsia" w:cs="宋体"/>
                <w:color w:val="auto"/>
                <w:szCs w:val="21"/>
              </w:rPr>
              <w:t>区</w:t>
            </w:r>
            <w:r>
              <w:rPr>
                <w:rFonts w:hint="eastAsia" w:cs="宋体"/>
                <w:color w:val="auto"/>
                <w:szCs w:val="21"/>
                <w:u w:val="single"/>
              </w:rPr>
              <w:t xml:space="preserve"> 罗江镇高石社区 </w:t>
            </w:r>
          </w:p>
        </w:tc>
      </w:tr>
      <w:tr w14:paraId="405EB0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81"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40242FAC">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地理坐标</w:t>
            </w:r>
          </w:p>
        </w:tc>
        <w:tc>
          <w:tcPr>
            <w:tcW w:w="6589" w:type="dxa"/>
            <w:gridSpan w:val="4"/>
            <w:tcBorders>
              <w:top w:val="single" w:color="auto" w:sz="4" w:space="0"/>
              <w:left w:val="single" w:color="auto" w:sz="4" w:space="0"/>
              <w:bottom w:val="single" w:color="auto" w:sz="4" w:space="0"/>
              <w:right w:val="single" w:color="auto" w:sz="8" w:space="0"/>
            </w:tcBorders>
            <w:vAlign w:val="center"/>
          </w:tcPr>
          <w:p w14:paraId="3F628490">
            <w:pPr>
              <w:keepNext w:val="0"/>
              <w:keepLines w:val="0"/>
              <w:suppressLineNumbers w:val="0"/>
              <w:spacing w:before="0" w:beforeAutospacing="0" w:after="0" w:afterAutospacing="0"/>
              <w:ind w:left="0" w:right="0"/>
              <w:jc w:val="center"/>
              <w:rPr>
                <w:rFonts w:hint="default" w:cs="宋体"/>
                <w:color w:val="auto"/>
                <w:szCs w:val="21"/>
              </w:rPr>
            </w:pPr>
            <w:r>
              <w:rPr>
                <w:rFonts w:hint="eastAsia" w:cs="宋体"/>
                <w:color w:val="auto"/>
                <w:szCs w:val="21"/>
              </w:rPr>
              <w:t>（</w:t>
            </w:r>
            <w:r>
              <w:rPr>
                <w:rFonts w:hint="eastAsia" w:cs="宋体"/>
                <w:color w:val="auto"/>
                <w:szCs w:val="21"/>
                <w:u w:val="single"/>
              </w:rPr>
              <w:t xml:space="preserve">  107 </w:t>
            </w:r>
            <w:r>
              <w:rPr>
                <w:rFonts w:hint="eastAsia" w:cs="宋体"/>
                <w:color w:val="auto"/>
                <w:szCs w:val="21"/>
              </w:rPr>
              <w:t>度</w:t>
            </w:r>
            <w:r>
              <w:rPr>
                <w:rFonts w:hint="eastAsia" w:cs="宋体"/>
                <w:color w:val="auto"/>
                <w:szCs w:val="21"/>
                <w:u w:val="single"/>
              </w:rPr>
              <w:t xml:space="preserve"> 32 </w:t>
            </w:r>
            <w:r>
              <w:rPr>
                <w:rFonts w:hint="eastAsia" w:cs="宋体"/>
                <w:color w:val="auto"/>
                <w:szCs w:val="21"/>
              </w:rPr>
              <w:t>分</w:t>
            </w:r>
            <w:r>
              <w:rPr>
                <w:rFonts w:hint="eastAsia" w:cs="宋体"/>
                <w:color w:val="auto"/>
                <w:szCs w:val="21"/>
                <w:u w:val="single"/>
              </w:rPr>
              <w:t xml:space="preserve"> 16.5800 </w:t>
            </w:r>
            <w:r>
              <w:rPr>
                <w:rFonts w:hint="eastAsia" w:cs="宋体"/>
                <w:color w:val="auto"/>
                <w:szCs w:val="21"/>
              </w:rPr>
              <w:t>秒，</w:t>
            </w:r>
            <w:r>
              <w:rPr>
                <w:rFonts w:hint="eastAsia" w:cs="宋体"/>
                <w:color w:val="auto"/>
                <w:szCs w:val="21"/>
                <w:u w:val="single"/>
              </w:rPr>
              <w:t xml:space="preserve"> 31 </w:t>
            </w:r>
            <w:r>
              <w:rPr>
                <w:rFonts w:hint="eastAsia" w:cs="宋体"/>
                <w:color w:val="auto"/>
                <w:szCs w:val="21"/>
              </w:rPr>
              <w:t>度</w:t>
            </w:r>
            <w:r>
              <w:rPr>
                <w:rFonts w:hint="eastAsia" w:cs="宋体"/>
                <w:color w:val="auto"/>
                <w:szCs w:val="21"/>
                <w:u w:val="single"/>
              </w:rPr>
              <w:t xml:space="preserve"> 18 </w:t>
            </w:r>
            <w:r>
              <w:rPr>
                <w:rFonts w:hint="eastAsia" w:cs="宋体"/>
                <w:color w:val="auto"/>
                <w:szCs w:val="21"/>
              </w:rPr>
              <w:t>分</w:t>
            </w:r>
            <w:r>
              <w:rPr>
                <w:rFonts w:hint="eastAsia" w:cs="宋体"/>
                <w:color w:val="auto"/>
                <w:szCs w:val="21"/>
                <w:u w:val="single"/>
              </w:rPr>
              <w:t xml:space="preserve"> 28.7100 </w:t>
            </w:r>
            <w:r>
              <w:rPr>
                <w:rFonts w:hint="eastAsia" w:cs="宋体"/>
                <w:color w:val="auto"/>
                <w:szCs w:val="21"/>
              </w:rPr>
              <w:t>秒）</w:t>
            </w:r>
          </w:p>
        </w:tc>
      </w:tr>
      <w:tr w14:paraId="5C27A1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504" w:hRule="atLeast"/>
          <w:jc w:val="center"/>
        </w:trPr>
        <w:tc>
          <w:tcPr>
            <w:tcW w:w="2281"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2743D7CA">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国民经济</w:t>
            </w:r>
          </w:p>
          <w:p w14:paraId="571C6072">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行业类别</w:t>
            </w:r>
          </w:p>
        </w:tc>
        <w:tc>
          <w:tcPr>
            <w:tcW w:w="2127" w:type="dxa"/>
            <w:gridSpan w:val="2"/>
            <w:tcBorders>
              <w:top w:val="single" w:color="auto" w:sz="4" w:space="0"/>
              <w:left w:val="single" w:color="auto" w:sz="4" w:space="0"/>
              <w:bottom w:val="single" w:color="auto" w:sz="4" w:space="0"/>
              <w:right w:val="single" w:color="auto" w:sz="4" w:space="0"/>
            </w:tcBorders>
            <w:vAlign w:val="center"/>
          </w:tcPr>
          <w:p w14:paraId="2FA0D87A">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Q8411 综合医院</w:t>
            </w:r>
          </w:p>
        </w:tc>
        <w:tc>
          <w:tcPr>
            <w:tcW w:w="1823" w:type="dxa"/>
            <w:tcBorders>
              <w:top w:val="single" w:color="auto" w:sz="4" w:space="0"/>
              <w:left w:val="single" w:color="auto" w:sz="4" w:space="0"/>
              <w:bottom w:val="single" w:color="auto" w:sz="4" w:space="0"/>
              <w:right w:val="single" w:color="auto" w:sz="4" w:space="0"/>
            </w:tcBorders>
            <w:vAlign w:val="center"/>
          </w:tcPr>
          <w:p w14:paraId="49106E5A">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bookmarkStart w:id="1" w:name="_Hlk49843745"/>
            <w:r>
              <w:rPr>
                <w:rFonts w:hint="eastAsia" w:cs="宋体"/>
                <w:color w:val="auto"/>
                <w:szCs w:val="21"/>
              </w:rPr>
              <w:t>建设项目</w:t>
            </w:r>
          </w:p>
          <w:p w14:paraId="08DC9D5E">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行业类别</w:t>
            </w:r>
            <w:bookmarkEnd w:id="1"/>
          </w:p>
        </w:tc>
        <w:tc>
          <w:tcPr>
            <w:tcW w:w="2639" w:type="dxa"/>
            <w:tcBorders>
              <w:top w:val="single" w:color="auto" w:sz="4" w:space="0"/>
              <w:left w:val="single" w:color="auto" w:sz="4" w:space="0"/>
              <w:bottom w:val="single" w:color="auto" w:sz="4" w:space="0"/>
              <w:right w:val="single" w:color="auto" w:sz="8" w:space="0"/>
            </w:tcBorders>
            <w:vAlign w:val="center"/>
          </w:tcPr>
          <w:p w14:paraId="7F8DB719">
            <w:pPr>
              <w:keepNext w:val="0"/>
              <w:keepLines w:val="0"/>
              <w:suppressLineNumbers w:val="0"/>
              <w:adjustRightInd w:val="0"/>
              <w:snapToGrid w:val="0"/>
              <w:spacing w:before="0" w:beforeAutospacing="0" w:after="0" w:afterAutospacing="0"/>
              <w:ind w:left="0" w:right="0"/>
              <w:rPr>
                <w:rFonts w:hint="default" w:cs="宋体"/>
                <w:color w:val="auto"/>
                <w:szCs w:val="21"/>
              </w:rPr>
            </w:pPr>
            <w:r>
              <w:rPr>
                <w:rFonts w:hint="eastAsia" w:cs="宋体"/>
                <w:color w:val="auto"/>
                <w:szCs w:val="21"/>
              </w:rPr>
              <w:t>108 医院；专科疾病防治院（所、站）；妇幼保健院（所、站）；急救中心（站）服务；采供血机构服务；基层医疗卫生服务</w:t>
            </w:r>
          </w:p>
        </w:tc>
      </w:tr>
      <w:tr w14:paraId="74CE21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281"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4B0235FD">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建设性质</w:t>
            </w:r>
          </w:p>
        </w:tc>
        <w:tc>
          <w:tcPr>
            <w:tcW w:w="2127" w:type="dxa"/>
            <w:gridSpan w:val="2"/>
            <w:tcBorders>
              <w:top w:val="single" w:color="auto" w:sz="4" w:space="0"/>
              <w:left w:val="single" w:color="auto" w:sz="4" w:space="0"/>
              <w:bottom w:val="single" w:color="auto" w:sz="4" w:space="0"/>
              <w:right w:val="single" w:color="auto" w:sz="4" w:space="0"/>
            </w:tcBorders>
            <w:vAlign w:val="center"/>
          </w:tcPr>
          <w:p w14:paraId="7FAA51EC">
            <w:pPr>
              <w:keepNext w:val="0"/>
              <w:keepLines w:val="0"/>
              <w:suppressLineNumbers w:val="0"/>
              <w:spacing w:before="0" w:beforeAutospacing="0" w:after="0" w:afterAutospacing="0"/>
              <w:ind w:left="0" w:right="0"/>
              <w:jc w:val="left"/>
              <w:rPr>
                <w:rFonts w:hint="default" w:cs="宋体"/>
                <w:color w:val="auto"/>
                <w:szCs w:val="21"/>
              </w:rPr>
            </w:pPr>
            <w:sdt>
              <w:sdtPr>
                <w:rPr>
                  <w:rFonts w:hint="eastAsia" w:cs="宋体"/>
                  <w:color w:val="auto"/>
                  <w:szCs w:val="21"/>
                </w:rPr>
                <w:id w:val="629664090"/>
                <w14:checkbox>
                  <w14:checked w14:val="1"/>
                  <w14:checkedState w14:val="0052" w14:font="Wingdings 2"/>
                  <w14:uncheckedState w14:val="2610" w14:font="MS Gothic"/>
                </w14:checkbox>
              </w:sdtPr>
              <w:sdtEndPr>
                <w:rPr>
                  <w:rFonts w:hint="eastAsia" w:cs="宋体"/>
                  <w:color w:val="auto"/>
                  <w:szCs w:val="21"/>
                </w:rPr>
              </w:sdtEndPr>
              <w:sdtContent>
                <w:r>
                  <w:rPr>
                    <w:rFonts w:hint="eastAsia" w:cs="宋体"/>
                    <w:color w:val="auto"/>
                    <w:szCs w:val="21"/>
                  </w:rPr>
                  <w:sym w:font="Wingdings 2" w:char="F052"/>
                </w:r>
              </w:sdtContent>
            </w:sdt>
            <w:r>
              <w:rPr>
                <w:rFonts w:hint="eastAsia" w:cs="宋体"/>
                <w:color w:val="auto"/>
                <w:szCs w:val="21"/>
              </w:rPr>
              <w:t>新建（迁建）</w:t>
            </w:r>
          </w:p>
          <w:p w14:paraId="78FF9172">
            <w:pPr>
              <w:keepNext w:val="0"/>
              <w:keepLines w:val="0"/>
              <w:suppressLineNumbers w:val="0"/>
              <w:spacing w:before="0" w:beforeAutospacing="0" w:after="0" w:afterAutospacing="0"/>
              <w:ind w:left="0" w:right="0"/>
              <w:jc w:val="left"/>
              <w:rPr>
                <w:rFonts w:hint="default" w:cs="宋体"/>
                <w:color w:val="auto"/>
                <w:szCs w:val="21"/>
              </w:rPr>
            </w:pPr>
            <w:sdt>
              <w:sdtPr>
                <w:rPr>
                  <w:rFonts w:hint="eastAsia" w:cs="宋体"/>
                  <w:color w:val="auto"/>
                  <w:szCs w:val="21"/>
                </w:rPr>
                <w:id w:val="-1"/>
                <w14:checkbox>
                  <w14:checked w14:val="0"/>
                  <w14:checkedState w14:val="0052" w14:font="Wingdings 2"/>
                  <w14:uncheckedState w14:val="2610" w14:font="MS Gothic"/>
                </w14:checkbox>
              </w:sdtPr>
              <w:sdtEndPr>
                <w:rPr>
                  <w:rFonts w:hint="eastAsia" w:cs="宋体"/>
                  <w:color w:val="auto"/>
                  <w:szCs w:val="21"/>
                </w:rPr>
              </w:sdtEndPr>
              <w:sdtContent>
                <w:r>
                  <w:rPr>
                    <w:rFonts w:hint="eastAsia" w:eastAsia="MS Gothic" w:cs="宋体"/>
                    <w:color w:val="auto"/>
                    <w:szCs w:val="21"/>
                  </w:rPr>
                  <w:t>☐</w:t>
                </w:r>
              </w:sdtContent>
            </w:sdt>
            <w:r>
              <w:rPr>
                <w:rFonts w:hint="eastAsia" w:cs="宋体"/>
                <w:color w:val="auto"/>
                <w:szCs w:val="21"/>
              </w:rPr>
              <w:t>改建</w:t>
            </w:r>
          </w:p>
          <w:p w14:paraId="09AEF9D6">
            <w:pPr>
              <w:keepNext w:val="0"/>
              <w:keepLines w:val="0"/>
              <w:suppressLineNumbers w:val="0"/>
              <w:spacing w:before="0" w:beforeAutospacing="0" w:after="0" w:afterAutospacing="0"/>
              <w:ind w:left="0" w:right="0"/>
              <w:jc w:val="left"/>
              <w:rPr>
                <w:rFonts w:hint="default" w:cs="宋体"/>
                <w:color w:val="auto"/>
                <w:szCs w:val="21"/>
              </w:rPr>
            </w:pPr>
            <w:sdt>
              <w:sdtPr>
                <w:rPr>
                  <w:rFonts w:hint="eastAsia" w:cs="宋体"/>
                  <w:color w:val="auto"/>
                  <w:szCs w:val="21"/>
                </w:rPr>
                <w:id w:val="955713654"/>
                <w14:checkbox>
                  <w14:checked w14:val="0"/>
                  <w14:checkedState w14:val="0052" w14:font="Wingdings 2"/>
                  <w14:uncheckedState w14:val="2610" w14:font="MS Gothic"/>
                </w14:checkbox>
              </w:sdtPr>
              <w:sdtEndPr>
                <w:rPr>
                  <w:rFonts w:hint="eastAsia" w:cs="宋体"/>
                  <w:color w:val="auto"/>
                  <w:szCs w:val="21"/>
                </w:rPr>
              </w:sdtEndPr>
              <w:sdtContent>
                <w:r>
                  <w:rPr>
                    <w:rFonts w:hint="eastAsia" w:eastAsia="MS Gothic" w:cs="宋体"/>
                    <w:color w:val="auto"/>
                    <w:szCs w:val="21"/>
                  </w:rPr>
                  <w:t>☐</w:t>
                </w:r>
              </w:sdtContent>
            </w:sdt>
            <w:r>
              <w:rPr>
                <w:rFonts w:hint="eastAsia" w:cs="宋体"/>
                <w:color w:val="auto"/>
                <w:szCs w:val="21"/>
              </w:rPr>
              <w:t>扩建</w:t>
            </w:r>
          </w:p>
          <w:p w14:paraId="00F720CE">
            <w:pPr>
              <w:keepNext w:val="0"/>
              <w:keepLines w:val="0"/>
              <w:suppressLineNumbers w:val="0"/>
              <w:spacing w:before="0" w:beforeAutospacing="0" w:after="0" w:afterAutospacing="0"/>
              <w:ind w:left="0" w:right="0"/>
              <w:jc w:val="left"/>
              <w:rPr>
                <w:rFonts w:hint="default" w:cs="宋体"/>
                <w:color w:val="auto"/>
                <w:szCs w:val="21"/>
              </w:rPr>
            </w:pPr>
            <w:sdt>
              <w:sdtPr>
                <w:rPr>
                  <w:rFonts w:hint="eastAsia" w:cs="宋体"/>
                  <w:color w:val="auto"/>
                  <w:szCs w:val="21"/>
                </w:rPr>
                <w:id w:val="238833266"/>
                <w14:checkbox>
                  <w14:checked w14:val="0"/>
                  <w14:checkedState w14:val="0052" w14:font="Wingdings 2"/>
                  <w14:uncheckedState w14:val="2610" w14:font="MS Gothic"/>
                </w14:checkbox>
              </w:sdtPr>
              <w:sdtEndPr>
                <w:rPr>
                  <w:rFonts w:hint="eastAsia" w:cs="宋体"/>
                  <w:color w:val="auto"/>
                  <w:szCs w:val="21"/>
                </w:rPr>
              </w:sdtEndPr>
              <w:sdtContent>
                <w:r>
                  <w:rPr>
                    <w:rFonts w:hint="eastAsia" w:eastAsia="MS Gothic" w:cs="宋体"/>
                    <w:color w:val="auto"/>
                    <w:szCs w:val="21"/>
                  </w:rPr>
                  <w:t>☐</w:t>
                </w:r>
              </w:sdtContent>
            </w:sdt>
            <w:r>
              <w:rPr>
                <w:rFonts w:hint="eastAsia" w:cs="宋体"/>
                <w:color w:val="auto"/>
                <w:szCs w:val="21"/>
              </w:rPr>
              <w:t>技术改造</w:t>
            </w:r>
          </w:p>
        </w:tc>
        <w:tc>
          <w:tcPr>
            <w:tcW w:w="1823" w:type="dxa"/>
            <w:tcBorders>
              <w:top w:val="single" w:color="auto" w:sz="4" w:space="0"/>
              <w:left w:val="single" w:color="auto" w:sz="4" w:space="0"/>
              <w:bottom w:val="single" w:color="auto" w:sz="4" w:space="0"/>
              <w:right w:val="single" w:color="auto" w:sz="4" w:space="0"/>
            </w:tcBorders>
            <w:vAlign w:val="center"/>
          </w:tcPr>
          <w:p w14:paraId="5AD5AAD9">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建设项目</w:t>
            </w:r>
          </w:p>
          <w:p w14:paraId="4380505D">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申报情形</w:t>
            </w:r>
          </w:p>
        </w:tc>
        <w:tc>
          <w:tcPr>
            <w:tcW w:w="2639" w:type="dxa"/>
            <w:tcBorders>
              <w:top w:val="single" w:color="auto" w:sz="4" w:space="0"/>
              <w:left w:val="single" w:color="auto" w:sz="4" w:space="0"/>
              <w:bottom w:val="single" w:color="auto" w:sz="4" w:space="0"/>
              <w:right w:val="single" w:color="auto" w:sz="8" w:space="0"/>
            </w:tcBorders>
            <w:vAlign w:val="center"/>
          </w:tcPr>
          <w:p w14:paraId="621787BE">
            <w:pPr>
              <w:keepNext w:val="0"/>
              <w:keepLines w:val="0"/>
              <w:suppressLineNumbers w:val="0"/>
              <w:spacing w:before="0" w:beforeAutospacing="0" w:after="0" w:afterAutospacing="0"/>
              <w:ind w:left="0" w:right="0"/>
              <w:jc w:val="left"/>
              <w:rPr>
                <w:rFonts w:hint="default" w:cs="宋体"/>
                <w:color w:val="auto"/>
                <w:szCs w:val="21"/>
              </w:rPr>
            </w:pPr>
            <w:sdt>
              <w:sdtPr>
                <w:rPr>
                  <w:rFonts w:hint="eastAsia" w:cs="宋体"/>
                  <w:color w:val="auto"/>
                  <w:szCs w:val="21"/>
                </w:rPr>
                <w:id w:val="609859715"/>
                <w14:checkbox>
                  <w14:checked w14:val="1"/>
                  <w14:checkedState w14:val="0052" w14:font="Wingdings 2"/>
                  <w14:uncheckedState w14:val="2610" w14:font="MS Gothic"/>
                </w14:checkbox>
              </w:sdtPr>
              <w:sdtEndPr>
                <w:rPr>
                  <w:rFonts w:hint="eastAsia" w:cs="宋体"/>
                  <w:color w:val="auto"/>
                  <w:szCs w:val="21"/>
                </w:rPr>
              </w:sdtEndPr>
              <w:sdtContent>
                <w:r>
                  <w:rPr>
                    <w:rFonts w:hint="eastAsia" w:cs="宋体"/>
                    <w:color w:val="auto"/>
                    <w:szCs w:val="21"/>
                  </w:rPr>
                  <w:sym w:font="Wingdings 2" w:char="F052"/>
                </w:r>
              </w:sdtContent>
            </w:sdt>
            <w:r>
              <w:rPr>
                <w:rFonts w:hint="eastAsia" w:cs="宋体"/>
                <w:color w:val="auto"/>
                <w:szCs w:val="21"/>
              </w:rPr>
              <w:t xml:space="preserve">首次申报项目             </w:t>
            </w:r>
          </w:p>
          <w:p w14:paraId="2EDB337D">
            <w:pPr>
              <w:keepNext w:val="0"/>
              <w:keepLines w:val="0"/>
              <w:suppressLineNumbers w:val="0"/>
              <w:spacing w:before="0" w:beforeAutospacing="0" w:after="0" w:afterAutospacing="0"/>
              <w:ind w:left="0" w:right="0"/>
              <w:jc w:val="left"/>
              <w:rPr>
                <w:rFonts w:hint="default" w:cs="宋体"/>
                <w:color w:val="auto"/>
                <w:szCs w:val="21"/>
              </w:rPr>
            </w:pPr>
            <w:sdt>
              <w:sdtPr>
                <w:rPr>
                  <w:rFonts w:hint="eastAsia" w:cs="宋体"/>
                  <w:color w:val="auto"/>
                  <w:szCs w:val="21"/>
                </w:rPr>
                <w:id w:val="2096352931"/>
                <w14:checkbox>
                  <w14:checked w14:val="0"/>
                  <w14:checkedState w14:val="0052" w14:font="Wingdings 2"/>
                  <w14:uncheckedState w14:val="2610" w14:font="MS Gothic"/>
                </w14:checkbox>
              </w:sdtPr>
              <w:sdtEndPr>
                <w:rPr>
                  <w:rFonts w:hint="eastAsia" w:cs="宋体"/>
                  <w:color w:val="auto"/>
                  <w:szCs w:val="21"/>
                </w:rPr>
              </w:sdtEndPr>
              <w:sdtContent>
                <w:r>
                  <w:rPr>
                    <w:rFonts w:hint="eastAsia" w:eastAsia="MS Gothic" w:cs="宋体"/>
                    <w:color w:val="auto"/>
                    <w:szCs w:val="21"/>
                  </w:rPr>
                  <w:t>☐</w:t>
                </w:r>
              </w:sdtContent>
            </w:sdt>
            <w:r>
              <w:rPr>
                <w:rFonts w:hint="eastAsia" w:cs="宋体"/>
                <w:color w:val="auto"/>
                <w:szCs w:val="21"/>
              </w:rPr>
              <w:t>不予批准后再次申报项目</w:t>
            </w:r>
          </w:p>
          <w:p w14:paraId="7FB9BF85">
            <w:pPr>
              <w:keepNext w:val="0"/>
              <w:keepLines w:val="0"/>
              <w:suppressLineNumbers w:val="0"/>
              <w:spacing w:before="0" w:beforeAutospacing="0" w:after="0" w:afterAutospacing="0"/>
              <w:ind w:left="0" w:right="0"/>
              <w:jc w:val="left"/>
              <w:rPr>
                <w:rFonts w:hint="default" w:cs="宋体"/>
                <w:color w:val="auto"/>
                <w:szCs w:val="21"/>
              </w:rPr>
            </w:pPr>
            <w:sdt>
              <w:sdtPr>
                <w:rPr>
                  <w:rFonts w:hint="eastAsia" w:cs="宋体"/>
                  <w:color w:val="auto"/>
                  <w:szCs w:val="21"/>
                </w:rPr>
                <w:id w:val="940956321"/>
                <w14:checkbox>
                  <w14:checked w14:val="0"/>
                  <w14:checkedState w14:val="0052" w14:font="Wingdings 2"/>
                  <w14:uncheckedState w14:val="2610" w14:font="MS Gothic"/>
                </w14:checkbox>
              </w:sdtPr>
              <w:sdtEndPr>
                <w:rPr>
                  <w:rFonts w:hint="eastAsia" w:cs="宋体"/>
                  <w:color w:val="auto"/>
                  <w:szCs w:val="21"/>
                </w:rPr>
              </w:sdtEndPr>
              <w:sdtContent>
                <w:r>
                  <w:rPr>
                    <w:rFonts w:hint="eastAsia" w:eastAsia="MS Gothic" w:cs="宋体"/>
                    <w:color w:val="auto"/>
                    <w:szCs w:val="21"/>
                  </w:rPr>
                  <w:t>☐</w:t>
                </w:r>
              </w:sdtContent>
            </w:sdt>
            <w:r>
              <w:rPr>
                <w:rFonts w:hint="eastAsia" w:cs="宋体"/>
                <w:color w:val="auto"/>
                <w:szCs w:val="21"/>
              </w:rPr>
              <w:t xml:space="preserve">超五年重新审核项目     </w:t>
            </w:r>
          </w:p>
          <w:p w14:paraId="0A3481AC">
            <w:pPr>
              <w:keepNext w:val="0"/>
              <w:keepLines w:val="0"/>
              <w:suppressLineNumbers w:val="0"/>
              <w:spacing w:before="0" w:beforeAutospacing="0" w:after="0" w:afterAutospacing="0"/>
              <w:ind w:left="0" w:right="0"/>
              <w:jc w:val="left"/>
              <w:rPr>
                <w:rFonts w:hint="default" w:cs="宋体"/>
                <w:color w:val="auto"/>
                <w:szCs w:val="21"/>
              </w:rPr>
            </w:pPr>
            <w:sdt>
              <w:sdtPr>
                <w:rPr>
                  <w:rFonts w:hint="eastAsia" w:cs="宋体"/>
                  <w:color w:val="auto"/>
                  <w:szCs w:val="21"/>
                </w:rPr>
                <w:id w:val="805807132"/>
                <w14:checkbox>
                  <w14:checked w14:val="0"/>
                  <w14:checkedState w14:val="0052" w14:font="Wingdings 2"/>
                  <w14:uncheckedState w14:val="2610" w14:font="MS Gothic"/>
                </w14:checkbox>
              </w:sdtPr>
              <w:sdtEndPr>
                <w:rPr>
                  <w:rFonts w:hint="eastAsia" w:cs="宋体"/>
                  <w:color w:val="auto"/>
                  <w:szCs w:val="21"/>
                </w:rPr>
              </w:sdtEndPr>
              <w:sdtContent>
                <w:r>
                  <w:rPr>
                    <w:rFonts w:hint="eastAsia" w:eastAsia="MS Gothic" w:cs="宋体"/>
                    <w:color w:val="auto"/>
                    <w:szCs w:val="21"/>
                  </w:rPr>
                  <w:t>☐</w:t>
                </w:r>
              </w:sdtContent>
            </w:sdt>
            <w:r>
              <w:rPr>
                <w:rFonts w:hint="eastAsia" w:cs="宋体"/>
                <w:color w:val="auto"/>
                <w:szCs w:val="21"/>
              </w:rPr>
              <w:t>重大变动重新报批项目</w:t>
            </w:r>
          </w:p>
        </w:tc>
      </w:tr>
      <w:tr w14:paraId="6BF174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8" w:hRule="atLeast"/>
          <w:jc w:val="center"/>
        </w:trPr>
        <w:tc>
          <w:tcPr>
            <w:tcW w:w="2281"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7DDA2C43">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项目审批（核准/</w:t>
            </w:r>
          </w:p>
          <w:p w14:paraId="4A1EE5CD">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备案）部门（选填）</w:t>
            </w:r>
          </w:p>
        </w:tc>
        <w:tc>
          <w:tcPr>
            <w:tcW w:w="2127" w:type="dxa"/>
            <w:gridSpan w:val="2"/>
            <w:tcBorders>
              <w:top w:val="single" w:color="auto" w:sz="4" w:space="0"/>
              <w:left w:val="single" w:color="auto" w:sz="4" w:space="0"/>
              <w:bottom w:val="single" w:color="auto" w:sz="4" w:space="0"/>
              <w:right w:val="single" w:color="auto" w:sz="4" w:space="0"/>
            </w:tcBorders>
            <w:vAlign w:val="center"/>
          </w:tcPr>
          <w:p w14:paraId="3D824DAD">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w:t>
            </w:r>
          </w:p>
        </w:tc>
        <w:tc>
          <w:tcPr>
            <w:tcW w:w="1823" w:type="dxa"/>
            <w:tcBorders>
              <w:top w:val="single" w:color="auto" w:sz="4" w:space="0"/>
              <w:left w:val="single" w:color="auto" w:sz="4" w:space="0"/>
              <w:bottom w:val="single" w:color="auto" w:sz="4" w:space="0"/>
              <w:right w:val="single" w:color="auto" w:sz="4" w:space="0"/>
            </w:tcBorders>
            <w:vAlign w:val="center"/>
          </w:tcPr>
          <w:p w14:paraId="39AB3F63">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项目审批（核准/</w:t>
            </w:r>
          </w:p>
          <w:p w14:paraId="6498BD6C">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备案）文号（选填）</w:t>
            </w:r>
          </w:p>
        </w:tc>
        <w:tc>
          <w:tcPr>
            <w:tcW w:w="2639" w:type="dxa"/>
            <w:tcBorders>
              <w:top w:val="single" w:color="auto" w:sz="4" w:space="0"/>
              <w:left w:val="single" w:color="auto" w:sz="4" w:space="0"/>
              <w:bottom w:val="single" w:color="auto" w:sz="4" w:space="0"/>
              <w:right w:val="single" w:color="auto" w:sz="8" w:space="0"/>
            </w:tcBorders>
            <w:vAlign w:val="center"/>
          </w:tcPr>
          <w:p w14:paraId="3D64E903">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w:t>
            </w:r>
          </w:p>
        </w:tc>
      </w:tr>
      <w:tr w14:paraId="2D6D07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2281"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1CC4A956">
            <w:pPr>
              <w:keepNext w:val="0"/>
              <w:keepLines w:val="0"/>
              <w:suppressLineNumbers w:val="0"/>
              <w:adjustRightInd w:val="0"/>
              <w:snapToGrid w:val="0"/>
              <w:spacing w:before="0" w:beforeAutospacing="0" w:after="0" w:afterAutospacing="0"/>
              <w:ind w:left="0" w:right="0"/>
              <w:jc w:val="center"/>
              <w:rPr>
                <w:rFonts w:hint="default" w:cs="宋体"/>
                <w:color w:val="auto"/>
                <w:szCs w:val="21"/>
                <w:highlight w:val="none"/>
              </w:rPr>
            </w:pPr>
            <w:r>
              <w:rPr>
                <w:rFonts w:hint="eastAsia" w:cs="宋体"/>
                <w:color w:val="auto"/>
                <w:szCs w:val="21"/>
                <w:highlight w:val="none"/>
              </w:rPr>
              <w:t>总投资（万元）</w:t>
            </w:r>
          </w:p>
        </w:tc>
        <w:tc>
          <w:tcPr>
            <w:tcW w:w="2127" w:type="dxa"/>
            <w:gridSpan w:val="2"/>
            <w:tcBorders>
              <w:top w:val="single" w:color="auto" w:sz="4" w:space="0"/>
              <w:left w:val="single" w:color="auto" w:sz="4" w:space="0"/>
              <w:bottom w:val="single" w:color="auto" w:sz="4" w:space="0"/>
              <w:right w:val="single" w:color="auto" w:sz="4" w:space="0"/>
            </w:tcBorders>
            <w:vAlign w:val="center"/>
          </w:tcPr>
          <w:p w14:paraId="2088B157">
            <w:pPr>
              <w:keepNext w:val="0"/>
              <w:keepLines w:val="0"/>
              <w:suppressLineNumbers w:val="0"/>
              <w:adjustRightInd w:val="0"/>
              <w:snapToGrid w:val="0"/>
              <w:spacing w:before="0" w:beforeAutospacing="0" w:after="0" w:afterAutospacing="0"/>
              <w:ind w:left="0" w:right="0"/>
              <w:jc w:val="center"/>
              <w:rPr>
                <w:rFonts w:hint="default" w:cs="宋体"/>
                <w:color w:val="auto"/>
                <w:szCs w:val="21"/>
                <w:highlight w:val="none"/>
              </w:rPr>
            </w:pPr>
            <w:r>
              <w:rPr>
                <w:rFonts w:hint="eastAsia" w:cs="宋体"/>
                <w:color w:val="auto"/>
                <w:szCs w:val="21"/>
                <w:highlight w:val="none"/>
                <w:lang w:val="en-US" w:eastAsia="zh-CN"/>
              </w:rPr>
              <w:t>15</w:t>
            </w:r>
            <w:r>
              <w:rPr>
                <w:rFonts w:hint="eastAsia" w:cs="宋体"/>
                <w:color w:val="auto"/>
                <w:szCs w:val="21"/>
                <w:highlight w:val="none"/>
              </w:rPr>
              <w:t>0.00</w:t>
            </w:r>
          </w:p>
        </w:tc>
        <w:tc>
          <w:tcPr>
            <w:tcW w:w="1823"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14:paraId="5DAFB40E">
            <w:pPr>
              <w:keepNext w:val="0"/>
              <w:keepLines w:val="0"/>
              <w:suppressLineNumbers w:val="0"/>
              <w:adjustRightInd w:val="0"/>
              <w:snapToGrid w:val="0"/>
              <w:spacing w:before="0" w:beforeAutospacing="0" w:after="0" w:afterAutospacing="0"/>
              <w:ind w:left="0" w:right="0"/>
              <w:jc w:val="center"/>
              <w:rPr>
                <w:rFonts w:hint="default" w:cs="宋体"/>
                <w:color w:val="auto"/>
                <w:szCs w:val="21"/>
                <w:highlight w:val="none"/>
              </w:rPr>
            </w:pPr>
            <w:r>
              <w:rPr>
                <w:rFonts w:hint="eastAsia" w:cs="宋体"/>
                <w:color w:val="auto"/>
                <w:szCs w:val="21"/>
                <w:highlight w:val="none"/>
              </w:rPr>
              <w:t>环保投资（万元）</w:t>
            </w:r>
          </w:p>
        </w:tc>
        <w:tc>
          <w:tcPr>
            <w:tcW w:w="2639" w:type="dxa"/>
            <w:tcBorders>
              <w:top w:val="single" w:color="auto" w:sz="4" w:space="0"/>
              <w:left w:val="single" w:color="auto" w:sz="4" w:space="0"/>
              <w:bottom w:val="single" w:color="auto" w:sz="4" w:space="0"/>
              <w:right w:val="single" w:color="auto" w:sz="8" w:space="0"/>
            </w:tcBorders>
            <w:vAlign w:val="center"/>
          </w:tcPr>
          <w:p w14:paraId="2D5A6FEF">
            <w:pPr>
              <w:keepNext w:val="0"/>
              <w:keepLines w:val="0"/>
              <w:suppressLineNumbers w:val="0"/>
              <w:adjustRightInd w:val="0"/>
              <w:snapToGrid w:val="0"/>
              <w:spacing w:before="0" w:beforeAutospacing="0" w:after="0" w:afterAutospacing="0"/>
              <w:ind w:left="0" w:right="0"/>
              <w:jc w:val="center"/>
              <w:rPr>
                <w:rFonts w:hint="default" w:eastAsia="宋体" w:cs="宋体"/>
                <w:color w:val="auto"/>
                <w:szCs w:val="21"/>
                <w:highlight w:val="none"/>
                <w:lang w:val="en-US" w:eastAsia="zh-CN"/>
              </w:rPr>
            </w:pPr>
            <w:r>
              <w:rPr>
                <w:rFonts w:hint="eastAsia" w:cs="宋体"/>
                <w:color w:val="auto"/>
                <w:szCs w:val="21"/>
                <w:highlight w:val="none"/>
                <w:lang w:val="en-US" w:eastAsia="zh-CN"/>
              </w:rPr>
              <w:t>39.00</w:t>
            </w:r>
          </w:p>
        </w:tc>
      </w:tr>
      <w:tr w14:paraId="3D28A9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3" w:hRule="atLeast"/>
          <w:jc w:val="center"/>
        </w:trPr>
        <w:tc>
          <w:tcPr>
            <w:tcW w:w="2281"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156EAF14">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环保投资占比（%）</w:t>
            </w:r>
          </w:p>
        </w:tc>
        <w:tc>
          <w:tcPr>
            <w:tcW w:w="2127" w:type="dxa"/>
            <w:gridSpan w:val="2"/>
            <w:tcBorders>
              <w:top w:val="single" w:color="auto" w:sz="4" w:space="0"/>
              <w:left w:val="single" w:color="auto" w:sz="4" w:space="0"/>
              <w:bottom w:val="single" w:color="auto" w:sz="4" w:space="0"/>
              <w:right w:val="single" w:color="auto" w:sz="4" w:space="0"/>
            </w:tcBorders>
            <w:vAlign w:val="center"/>
          </w:tcPr>
          <w:p w14:paraId="52BCC84B">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lang w:val="en-US" w:eastAsia="zh-CN"/>
              </w:rPr>
              <w:t>26.00</w:t>
            </w:r>
            <w:r>
              <w:rPr>
                <w:rFonts w:hint="eastAsia" w:cs="宋体"/>
                <w:color w:val="auto"/>
                <w:szCs w:val="21"/>
              </w:rPr>
              <w:t>%</w:t>
            </w:r>
          </w:p>
        </w:tc>
        <w:tc>
          <w:tcPr>
            <w:tcW w:w="1823"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14:paraId="6DB3981E">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施工工期</w:t>
            </w:r>
          </w:p>
        </w:tc>
        <w:tc>
          <w:tcPr>
            <w:tcW w:w="2639" w:type="dxa"/>
            <w:tcBorders>
              <w:top w:val="single" w:color="auto" w:sz="4" w:space="0"/>
              <w:left w:val="single" w:color="auto" w:sz="4" w:space="0"/>
              <w:bottom w:val="single" w:color="auto" w:sz="4" w:space="0"/>
              <w:right w:val="single" w:color="auto" w:sz="8" w:space="0"/>
            </w:tcBorders>
            <w:vAlign w:val="center"/>
          </w:tcPr>
          <w:p w14:paraId="7A5D95C4">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2个月</w:t>
            </w:r>
          </w:p>
        </w:tc>
      </w:tr>
      <w:tr w14:paraId="0D722F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641" w:hRule="atLeast"/>
          <w:jc w:val="center"/>
        </w:trPr>
        <w:tc>
          <w:tcPr>
            <w:tcW w:w="2281"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14:paraId="1B3F1351">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是否开工建设</w:t>
            </w:r>
          </w:p>
        </w:tc>
        <w:tc>
          <w:tcPr>
            <w:tcW w:w="2127" w:type="dxa"/>
            <w:gridSpan w:val="2"/>
            <w:tcBorders>
              <w:top w:val="single" w:color="auto" w:sz="4" w:space="0"/>
              <w:left w:val="single" w:color="auto" w:sz="4" w:space="0"/>
              <w:bottom w:val="single" w:color="auto" w:sz="4" w:space="0"/>
              <w:right w:val="single" w:color="auto" w:sz="4" w:space="0"/>
            </w:tcBorders>
            <w:vAlign w:val="center"/>
          </w:tcPr>
          <w:p w14:paraId="3FD1CECB">
            <w:pPr>
              <w:keepNext w:val="0"/>
              <w:keepLines w:val="0"/>
              <w:suppressLineNumbers w:val="0"/>
              <w:adjustRightInd w:val="0"/>
              <w:snapToGrid w:val="0"/>
              <w:spacing w:before="0" w:beforeAutospacing="0" w:after="0" w:afterAutospacing="0"/>
              <w:ind w:left="0" w:right="0"/>
              <w:rPr>
                <w:rFonts w:hint="default" w:cs="宋体"/>
                <w:color w:val="auto"/>
                <w:szCs w:val="21"/>
              </w:rPr>
            </w:pPr>
            <w:r>
              <w:rPr>
                <w:rFonts w:hint="default" w:cs="宋体"/>
                <w:color w:val="auto"/>
                <w:szCs w:val="21"/>
              </w:rPr>
              <w:sym w:font="Wingdings 2" w:char="F02A"/>
            </w:r>
            <w:r>
              <w:rPr>
                <w:rFonts w:hint="eastAsia" w:cs="宋体"/>
                <w:color w:val="auto"/>
                <w:szCs w:val="21"/>
              </w:rPr>
              <w:t>否</w:t>
            </w:r>
          </w:p>
          <w:p w14:paraId="54FE6E33">
            <w:pPr>
              <w:keepNext w:val="0"/>
              <w:keepLines w:val="0"/>
              <w:suppressLineNumbers w:val="0"/>
              <w:adjustRightInd w:val="0"/>
              <w:snapToGrid w:val="0"/>
              <w:spacing w:before="0" w:beforeAutospacing="0" w:after="0" w:afterAutospacing="0"/>
              <w:ind w:left="0" w:right="0"/>
              <w:rPr>
                <w:rFonts w:hint="default" w:cs="宋体"/>
                <w:color w:val="auto"/>
                <w:szCs w:val="21"/>
              </w:rPr>
            </w:pPr>
            <w:r>
              <w:rPr>
                <w:rFonts w:hint="default" w:cs="宋体"/>
                <w:color w:val="auto"/>
                <w:szCs w:val="21"/>
              </w:rPr>
              <w:sym w:font="Wingdings 2" w:char="F052"/>
            </w:r>
            <w:r>
              <w:rPr>
                <w:rFonts w:hint="eastAsia" w:cs="宋体"/>
                <w:color w:val="auto"/>
                <w:szCs w:val="21"/>
              </w:rPr>
              <w:t>是：</w:t>
            </w:r>
            <w:r>
              <w:rPr>
                <w:rFonts w:hint="eastAsia" w:cs="宋体"/>
                <w:color w:val="auto"/>
                <w:szCs w:val="21"/>
                <w:u w:val="single"/>
              </w:rPr>
              <w:t>本项目已动工建设，属于未批先建违法行为。达州市生态环境局以文“达市环法罚</w:t>
            </w:r>
            <w:r>
              <w:rPr>
                <w:rFonts w:hint="eastAsia" w:ascii="宋体" w:hAnsi="宋体" w:cs="宋体"/>
                <w:color w:val="auto"/>
                <w:szCs w:val="21"/>
                <w:u w:val="single"/>
              </w:rPr>
              <w:t>〔2022〕</w:t>
            </w:r>
            <w:r>
              <w:rPr>
                <w:rFonts w:hint="eastAsia" w:cs="宋体"/>
                <w:color w:val="auto"/>
                <w:szCs w:val="21"/>
                <w:u w:val="single"/>
              </w:rPr>
              <w:t>152号”出具了《行政处罚决定书》，建设单位已履行了处罚决定，缴纳了罚款。</w:t>
            </w:r>
          </w:p>
        </w:tc>
        <w:tc>
          <w:tcPr>
            <w:tcW w:w="1823"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14:paraId="699B296A">
            <w:pPr>
              <w:keepNext w:val="0"/>
              <w:keepLines w:val="0"/>
              <w:suppressLineNumbers w:val="0"/>
              <w:adjustRightInd w:val="0"/>
              <w:snapToGrid w:val="0"/>
              <w:spacing w:before="0" w:beforeAutospacing="0" w:after="0" w:afterAutospacing="0"/>
              <w:ind w:left="0" w:right="0"/>
              <w:jc w:val="center"/>
              <w:rPr>
                <w:rFonts w:hint="default" w:cs="宋体"/>
                <w:color w:val="auto"/>
                <w:spacing w:val="-6"/>
                <w:szCs w:val="21"/>
              </w:rPr>
            </w:pPr>
            <w:r>
              <w:rPr>
                <w:rFonts w:hint="eastAsia" w:cs="宋体"/>
                <w:color w:val="auto"/>
                <w:spacing w:val="-6"/>
                <w:szCs w:val="21"/>
              </w:rPr>
              <w:t>用地（用海）</w:t>
            </w:r>
          </w:p>
          <w:p w14:paraId="6ADDDEAB">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pacing w:val="-6"/>
                <w:szCs w:val="21"/>
              </w:rPr>
              <w:t>面积（m</w:t>
            </w:r>
            <w:r>
              <w:rPr>
                <w:rFonts w:hint="eastAsia" w:cs="宋体"/>
                <w:color w:val="auto"/>
                <w:spacing w:val="-6"/>
                <w:szCs w:val="21"/>
                <w:vertAlign w:val="superscript"/>
              </w:rPr>
              <w:t>2</w:t>
            </w:r>
            <w:r>
              <w:rPr>
                <w:rFonts w:hint="eastAsia" w:cs="宋体"/>
                <w:color w:val="auto"/>
                <w:spacing w:val="-6"/>
                <w:szCs w:val="21"/>
              </w:rPr>
              <w:t>）</w:t>
            </w:r>
          </w:p>
        </w:tc>
        <w:tc>
          <w:tcPr>
            <w:tcW w:w="2639" w:type="dxa"/>
            <w:tcBorders>
              <w:top w:val="single" w:color="auto" w:sz="4" w:space="0"/>
              <w:left w:val="single" w:color="auto" w:sz="4" w:space="0"/>
              <w:bottom w:val="single" w:color="auto" w:sz="4" w:space="0"/>
              <w:right w:val="single" w:color="auto" w:sz="8" w:space="0"/>
            </w:tcBorders>
            <w:vAlign w:val="center"/>
          </w:tcPr>
          <w:p w14:paraId="3C726A50">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1400</w:t>
            </w:r>
          </w:p>
        </w:tc>
      </w:tr>
      <w:tr w14:paraId="7966F8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281"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14:paraId="268E3D8B">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s="宋体"/>
                <w:color w:val="auto"/>
                <w:kern w:val="0"/>
                <w:szCs w:val="21"/>
              </w:rPr>
            </w:pPr>
            <w:r>
              <w:rPr>
                <w:rFonts w:hint="eastAsia" w:cs="宋体"/>
                <w:color w:val="auto"/>
                <w:kern w:val="0"/>
                <w:szCs w:val="21"/>
              </w:rPr>
              <w:t>专项评价设置情况</w:t>
            </w:r>
          </w:p>
        </w:tc>
        <w:tc>
          <w:tcPr>
            <w:tcW w:w="6589" w:type="dxa"/>
            <w:gridSpan w:val="4"/>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14:paraId="66592592">
            <w:pPr>
              <w:keepNext w:val="0"/>
              <w:keepLines w:val="0"/>
              <w:suppressLineNumbers w:val="0"/>
              <w:autoSpaceDE w:val="0"/>
              <w:autoSpaceDN w:val="0"/>
              <w:adjustRightInd w:val="0"/>
              <w:snapToGrid w:val="0"/>
              <w:spacing w:before="0" w:beforeAutospacing="0" w:after="0" w:afterAutospacing="0"/>
              <w:ind w:left="0" w:right="0"/>
              <w:jc w:val="center"/>
              <w:rPr>
                <w:rFonts w:hint="default" w:cs="宋体"/>
                <w:color w:val="auto"/>
                <w:kern w:val="0"/>
                <w:szCs w:val="21"/>
              </w:rPr>
            </w:pPr>
            <w:r>
              <w:rPr>
                <w:rFonts w:hint="default" w:cs="宋体"/>
                <w:color w:val="auto"/>
                <w:kern w:val="0"/>
                <w:szCs w:val="21"/>
              </w:rPr>
              <w:t>无</w:t>
            </w:r>
          </w:p>
        </w:tc>
      </w:tr>
      <w:tr w14:paraId="6AFEC6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86" w:hRule="atLeast"/>
          <w:jc w:val="center"/>
        </w:trPr>
        <w:tc>
          <w:tcPr>
            <w:tcW w:w="2281"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14:paraId="26C93D5E">
            <w:pPr>
              <w:keepNext w:val="0"/>
              <w:keepLines w:val="0"/>
              <w:suppressLineNumbers w:val="0"/>
              <w:autoSpaceDE w:val="0"/>
              <w:autoSpaceDN w:val="0"/>
              <w:adjustRightInd w:val="0"/>
              <w:snapToGrid w:val="0"/>
              <w:spacing w:before="0" w:beforeAutospacing="0" w:after="0" w:afterAutospacing="0" w:line="360" w:lineRule="auto"/>
              <w:ind w:left="0" w:right="0"/>
              <w:jc w:val="center"/>
              <w:rPr>
                <w:rFonts w:hint="default" w:cs="宋体"/>
                <w:color w:val="auto"/>
                <w:kern w:val="0"/>
                <w:szCs w:val="21"/>
              </w:rPr>
            </w:pPr>
            <w:r>
              <w:rPr>
                <w:rFonts w:hint="eastAsia" w:cs="宋体"/>
                <w:color w:val="auto"/>
                <w:szCs w:val="21"/>
              </w:rPr>
              <w:t>规划情况</w:t>
            </w:r>
          </w:p>
        </w:tc>
        <w:tc>
          <w:tcPr>
            <w:tcW w:w="6589" w:type="dxa"/>
            <w:gridSpan w:val="4"/>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14:paraId="6134BB81">
            <w:pPr>
              <w:keepNext w:val="0"/>
              <w:keepLines w:val="0"/>
              <w:suppressLineNumbers w:val="0"/>
              <w:autoSpaceDE w:val="0"/>
              <w:autoSpaceDN w:val="0"/>
              <w:adjustRightInd w:val="0"/>
              <w:snapToGrid w:val="0"/>
              <w:spacing w:before="0" w:beforeAutospacing="0" w:after="0" w:afterAutospacing="0"/>
              <w:ind w:left="0" w:right="0"/>
              <w:jc w:val="left"/>
              <w:rPr>
                <w:rFonts w:hint="default" w:cs="宋体"/>
                <w:color w:val="auto"/>
                <w:kern w:val="0"/>
                <w:szCs w:val="21"/>
              </w:rPr>
            </w:pPr>
            <w:r>
              <w:rPr>
                <w:rFonts w:hint="eastAsia" w:cs="宋体"/>
                <w:color w:val="auto"/>
                <w:kern w:val="0"/>
                <w:szCs w:val="21"/>
              </w:rPr>
              <w:t>规划名称：《达州市“十四五”卫生健康发展规划》；</w:t>
            </w:r>
          </w:p>
          <w:p w14:paraId="36C944B7">
            <w:pPr>
              <w:keepNext w:val="0"/>
              <w:keepLines w:val="0"/>
              <w:suppressLineNumbers w:val="0"/>
              <w:autoSpaceDE w:val="0"/>
              <w:autoSpaceDN w:val="0"/>
              <w:adjustRightInd w:val="0"/>
              <w:snapToGrid w:val="0"/>
              <w:spacing w:before="0" w:beforeAutospacing="0" w:after="0" w:afterAutospacing="0"/>
              <w:ind w:left="0" w:right="0"/>
              <w:jc w:val="left"/>
              <w:rPr>
                <w:rFonts w:hint="default" w:cs="宋体"/>
                <w:color w:val="auto"/>
                <w:kern w:val="0"/>
                <w:szCs w:val="21"/>
              </w:rPr>
            </w:pPr>
            <w:r>
              <w:rPr>
                <w:rFonts w:hint="eastAsia" w:cs="宋体"/>
                <w:color w:val="auto"/>
                <w:kern w:val="0"/>
                <w:szCs w:val="21"/>
              </w:rPr>
              <w:t>审批单位：达州市人民政府；</w:t>
            </w:r>
          </w:p>
          <w:p w14:paraId="7B77CF35">
            <w:pPr>
              <w:keepNext w:val="0"/>
              <w:keepLines w:val="0"/>
              <w:suppressLineNumbers w:val="0"/>
              <w:autoSpaceDE w:val="0"/>
              <w:autoSpaceDN w:val="0"/>
              <w:adjustRightInd w:val="0"/>
              <w:snapToGrid w:val="0"/>
              <w:spacing w:before="0" w:beforeAutospacing="0" w:after="0" w:afterAutospacing="0"/>
              <w:ind w:left="0" w:right="0"/>
              <w:jc w:val="left"/>
              <w:rPr>
                <w:rFonts w:hint="default" w:cs="宋体"/>
                <w:color w:val="auto"/>
                <w:kern w:val="0"/>
                <w:szCs w:val="21"/>
              </w:rPr>
            </w:pPr>
            <w:r>
              <w:rPr>
                <w:rFonts w:hint="eastAsia" w:cs="宋体"/>
                <w:color w:val="auto"/>
                <w:kern w:val="0"/>
                <w:szCs w:val="21"/>
              </w:rPr>
              <w:t>文号：达市府发[2022]11号；</w:t>
            </w:r>
          </w:p>
          <w:p w14:paraId="5AF1E5C8">
            <w:pPr>
              <w:keepNext w:val="0"/>
              <w:keepLines w:val="0"/>
              <w:suppressLineNumbers w:val="0"/>
              <w:autoSpaceDE w:val="0"/>
              <w:autoSpaceDN w:val="0"/>
              <w:adjustRightInd w:val="0"/>
              <w:snapToGrid w:val="0"/>
              <w:spacing w:before="0" w:beforeAutospacing="0" w:after="0" w:afterAutospacing="0"/>
              <w:ind w:left="0" w:right="0"/>
              <w:jc w:val="left"/>
              <w:rPr>
                <w:rFonts w:hint="default" w:cs="宋体"/>
                <w:color w:val="auto"/>
                <w:kern w:val="0"/>
                <w:szCs w:val="21"/>
              </w:rPr>
            </w:pPr>
            <w:r>
              <w:rPr>
                <w:rFonts w:hint="eastAsia" w:cs="宋体"/>
                <w:color w:val="auto"/>
                <w:kern w:val="0"/>
                <w:szCs w:val="21"/>
              </w:rPr>
              <w:t>发布时间：2022年3月22日；</w:t>
            </w:r>
          </w:p>
        </w:tc>
      </w:tr>
      <w:tr w14:paraId="4B8B8C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27" w:hRule="atLeast"/>
          <w:jc w:val="center"/>
        </w:trPr>
        <w:tc>
          <w:tcPr>
            <w:tcW w:w="2281"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14:paraId="38EA53A2">
            <w:pPr>
              <w:keepNext w:val="0"/>
              <w:keepLines w:val="0"/>
              <w:suppressLineNumbers w:val="0"/>
              <w:adjustRightInd w:val="0"/>
              <w:snapToGrid w:val="0"/>
              <w:spacing w:before="0" w:beforeAutospacing="0" w:after="0" w:afterAutospacing="0"/>
              <w:ind w:left="0" w:right="0"/>
              <w:jc w:val="center"/>
              <w:rPr>
                <w:rFonts w:hint="default" w:cs="宋体"/>
                <w:color w:val="auto"/>
                <w:szCs w:val="21"/>
              </w:rPr>
            </w:pPr>
            <w:r>
              <w:rPr>
                <w:rFonts w:hint="eastAsia" w:cs="宋体"/>
                <w:color w:val="auto"/>
                <w:szCs w:val="21"/>
              </w:rPr>
              <w:t>规划环境影响</w:t>
            </w:r>
          </w:p>
          <w:p w14:paraId="5A31ECB0">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szCs w:val="21"/>
              </w:rPr>
              <w:t>评价情况</w:t>
            </w:r>
          </w:p>
        </w:tc>
        <w:tc>
          <w:tcPr>
            <w:tcW w:w="6589" w:type="dxa"/>
            <w:gridSpan w:val="4"/>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14:paraId="7ED64500">
            <w:pPr>
              <w:keepNext w:val="0"/>
              <w:keepLines w:val="0"/>
              <w:suppressLineNumbers w:val="0"/>
              <w:autoSpaceDE w:val="0"/>
              <w:autoSpaceDN w:val="0"/>
              <w:adjustRightInd w:val="0"/>
              <w:snapToGrid w:val="0"/>
              <w:spacing w:before="0" w:beforeAutospacing="0" w:after="0" w:afterAutospacing="0"/>
              <w:ind w:left="0" w:right="0"/>
              <w:jc w:val="center"/>
              <w:rPr>
                <w:rFonts w:hint="default" w:cs="宋体"/>
                <w:color w:val="auto"/>
                <w:kern w:val="0"/>
                <w:szCs w:val="21"/>
              </w:rPr>
            </w:pPr>
            <w:r>
              <w:rPr>
                <w:rFonts w:hint="default" w:cs="宋体"/>
                <w:color w:val="auto"/>
                <w:kern w:val="0"/>
                <w:szCs w:val="21"/>
              </w:rPr>
              <w:t>无</w:t>
            </w:r>
          </w:p>
        </w:tc>
      </w:tr>
      <w:tr w14:paraId="4B8E9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91" w:hRule="atLeast"/>
          <w:jc w:val="center"/>
        </w:trPr>
        <w:tc>
          <w:tcPr>
            <w:tcW w:w="2281"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14:paraId="20A96D8C">
            <w:pPr>
              <w:keepNext w:val="0"/>
              <w:keepLines w:val="0"/>
              <w:suppressLineNumbers w:val="0"/>
              <w:autoSpaceDE w:val="0"/>
              <w:autoSpaceDN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规划及规划环境</w:t>
            </w:r>
          </w:p>
          <w:p w14:paraId="3502EE13">
            <w:pPr>
              <w:keepNext w:val="0"/>
              <w:keepLines w:val="0"/>
              <w:suppressLineNumbers w:val="0"/>
              <w:autoSpaceDE w:val="0"/>
              <w:autoSpaceDN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影响评价符合性分析</w:t>
            </w:r>
          </w:p>
        </w:tc>
        <w:tc>
          <w:tcPr>
            <w:tcW w:w="6589" w:type="dxa"/>
            <w:gridSpan w:val="4"/>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14:paraId="4E3623D9">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达州市人民政府于2022年3月22日发布了《关于印发&lt;达州市“十四五”卫生健康发展规划&gt;的通知》，该规划提出:促进社会办医高质量发展。进一步完善政策，支持社会力量举办非营利性医疗卫生机，构，推进非营利性民营医院与公立医院同等待遇。持续深化“放管服”改革、优化营商环境，深入推进“一网通办”前提下“最多跑一次”改革，推动“跨省通办”“川渝通办”，营造良好的社会办医环境。支持社会力量在医疗资源薄弱区域和妇儿、康复、肿瘤、老年、护理等短缺领域举办非营利性医疗机构。引导社会力量举办成规模、上档次医院，重点引进肿瘤、心脑血管疾病、肾脏疾病、妇儿、口腔等品牌专科医</w:t>
            </w:r>
            <w:r>
              <w:rPr>
                <w:rFonts w:hint="eastAsia" w:cs="宋体"/>
                <w:color w:val="auto"/>
                <w:spacing w:val="-2"/>
                <w:kern w:val="0"/>
                <w:szCs w:val="21"/>
              </w:rPr>
              <w:t>院。支持高水平民营医院发展，支持通川元达联合医院、达州南方医院、达州骨科医院等现有优质民营医院提档升级，建设培育为三级医院。</w:t>
            </w:r>
          </w:p>
          <w:p w14:paraId="32D7E13D">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本项目为民营医疗机构，拟设立床位80张，具有一定规模，能够及时为附近居民提供良好的医疗服务，缩短附近居民的就医时间，符合《达州市“十四五”卫生健康发展规划》（达市府发〔2022〕11号）。</w:t>
            </w:r>
          </w:p>
        </w:tc>
      </w:tr>
      <w:tr w14:paraId="1E29DB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2281" w:type="dxa"/>
            <w:tcBorders>
              <w:top w:val="single" w:color="auto" w:sz="4" w:space="0"/>
              <w:left w:val="single" w:color="auto" w:sz="8" w:space="0"/>
              <w:bottom w:val="single" w:color="auto" w:sz="8" w:space="0"/>
              <w:right w:val="single" w:color="auto" w:sz="4" w:space="0"/>
            </w:tcBorders>
            <w:tcMar>
              <w:top w:w="0" w:type="dxa"/>
              <w:left w:w="108" w:type="dxa"/>
              <w:bottom w:w="0" w:type="dxa"/>
              <w:right w:w="108" w:type="dxa"/>
            </w:tcMar>
            <w:vAlign w:val="center"/>
          </w:tcPr>
          <w:p w14:paraId="49E40416">
            <w:pPr>
              <w:pStyle w:val="4"/>
              <w:keepNext w:val="0"/>
              <w:keepLines w:val="0"/>
              <w:suppressLineNumbers w:val="0"/>
              <w:spacing w:before="0" w:beforeAutospacing="0" w:after="0" w:afterAutospacing="0"/>
              <w:ind w:right="0"/>
              <w:rPr>
                <w:rFonts w:hint="default"/>
                <w:color w:val="auto"/>
              </w:rPr>
            </w:pPr>
          </w:p>
          <w:p w14:paraId="3638C74D">
            <w:pPr>
              <w:pStyle w:val="4"/>
              <w:keepNext w:val="0"/>
              <w:keepLines w:val="0"/>
              <w:suppressLineNumbers w:val="0"/>
              <w:spacing w:before="0" w:beforeAutospacing="0" w:after="0" w:afterAutospacing="0"/>
              <w:ind w:right="0"/>
              <w:rPr>
                <w:rFonts w:hint="default"/>
                <w:color w:val="auto"/>
              </w:rPr>
            </w:pPr>
          </w:p>
          <w:p w14:paraId="40A85734">
            <w:pPr>
              <w:pStyle w:val="4"/>
              <w:keepNext w:val="0"/>
              <w:keepLines w:val="0"/>
              <w:suppressLineNumbers w:val="0"/>
              <w:spacing w:before="0" w:beforeAutospacing="0" w:after="0" w:afterAutospacing="0"/>
              <w:ind w:right="0"/>
              <w:rPr>
                <w:rFonts w:hint="default"/>
                <w:color w:val="auto"/>
              </w:rPr>
            </w:pPr>
          </w:p>
          <w:p w14:paraId="5C71EF65">
            <w:pPr>
              <w:pStyle w:val="4"/>
              <w:keepNext w:val="0"/>
              <w:keepLines w:val="0"/>
              <w:suppressLineNumbers w:val="0"/>
              <w:spacing w:before="0" w:beforeAutospacing="0" w:after="0" w:afterAutospacing="0"/>
              <w:ind w:right="0"/>
              <w:rPr>
                <w:rFonts w:hint="default"/>
                <w:color w:val="auto"/>
              </w:rPr>
            </w:pPr>
          </w:p>
          <w:p w14:paraId="30EB27BB">
            <w:pPr>
              <w:pStyle w:val="4"/>
              <w:keepNext w:val="0"/>
              <w:keepLines w:val="0"/>
              <w:suppressLineNumbers w:val="0"/>
              <w:spacing w:before="0" w:beforeAutospacing="0" w:after="0" w:afterAutospacing="0"/>
              <w:ind w:right="0"/>
              <w:rPr>
                <w:rFonts w:hint="default"/>
                <w:color w:val="auto"/>
              </w:rPr>
            </w:pPr>
          </w:p>
          <w:p w14:paraId="33625AA0">
            <w:pPr>
              <w:pStyle w:val="4"/>
              <w:keepNext w:val="0"/>
              <w:keepLines w:val="0"/>
              <w:suppressLineNumbers w:val="0"/>
              <w:spacing w:before="0" w:beforeAutospacing="0" w:after="0" w:afterAutospacing="0"/>
              <w:ind w:right="0"/>
              <w:rPr>
                <w:rFonts w:hint="default"/>
                <w:color w:val="auto"/>
              </w:rPr>
            </w:pPr>
          </w:p>
          <w:p w14:paraId="7665A26D">
            <w:pPr>
              <w:keepNext w:val="0"/>
              <w:keepLines w:val="0"/>
              <w:suppressLineNumbers w:val="0"/>
              <w:autoSpaceDE w:val="0"/>
              <w:autoSpaceDN w:val="0"/>
              <w:adjustRightInd w:val="0"/>
              <w:snapToGrid w:val="0"/>
              <w:spacing w:before="0" w:beforeAutospacing="0" w:after="0" w:afterAutospacing="0"/>
              <w:ind w:left="0" w:right="0"/>
              <w:jc w:val="center"/>
              <w:rPr>
                <w:rFonts w:hint="default" w:cs="宋体"/>
                <w:color w:val="auto"/>
                <w:kern w:val="0"/>
                <w:szCs w:val="21"/>
              </w:rPr>
            </w:pPr>
          </w:p>
          <w:p w14:paraId="53582504">
            <w:pPr>
              <w:keepNext w:val="0"/>
              <w:keepLines w:val="0"/>
              <w:suppressLineNumbers w:val="0"/>
              <w:autoSpaceDE w:val="0"/>
              <w:autoSpaceDN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其他符合性分析</w:t>
            </w:r>
          </w:p>
          <w:p w14:paraId="3A7F083B">
            <w:pPr>
              <w:pStyle w:val="2"/>
              <w:keepNext w:val="0"/>
              <w:keepLines w:val="0"/>
              <w:suppressLineNumbers w:val="0"/>
              <w:spacing w:before="0" w:beforeAutospacing="0" w:afterAutospacing="0"/>
              <w:ind w:right="0"/>
              <w:rPr>
                <w:rFonts w:hint="default"/>
                <w:color w:val="auto"/>
              </w:rPr>
            </w:pPr>
          </w:p>
          <w:p w14:paraId="20083756">
            <w:pPr>
              <w:pStyle w:val="3"/>
              <w:keepNext w:val="0"/>
              <w:keepLines w:val="0"/>
              <w:suppressLineNumbers w:val="0"/>
              <w:spacing w:before="0" w:beforeAutospacing="0" w:after="0" w:afterAutospacing="0"/>
              <w:ind w:left="0" w:right="0"/>
              <w:rPr>
                <w:rFonts w:hint="default"/>
                <w:color w:val="auto"/>
              </w:rPr>
            </w:pPr>
          </w:p>
          <w:p w14:paraId="01C4E606">
            <w:pPr>
              <w:pStyle w:val="4"/>
              <w:keepNext w:val="0"/>
              <w:keepLines w:val="0"/>
              <w:suppressLineNumbers w:val="0"/>
              <w:spacing w:before="0" w:beforeAutospacing="0" w:after="0" w:afterAutospacing="0"/>
              <w:ind w:right="0"/>
              <w:rPr>
                <w:rFonts w:hint="default"/>
                <w:color w:val="auto"/>
              </w:rPr>
            </w:pPr>
          </w:p>
          <w:p w14:paraId="0B55E1D6">
            <w:pPr>
              <w:pStyle w:val="4"/>
              <w:keepNext w:val="0"/>
              <w:keepLines w:val="0"/>
              <w:suppressLineNumbers w:val="0"/>
              <w:spacing w:before="0" w:beforeAutospacing="0" w:after="0" w:afterAutospacing="0"/>
              <w:ind w:left="0" w:right="0"/>
              <w:rPr>
                <w:rFonts w:hint="default" w:cs="宋体"/>
                <w:color w:val="auto"/>
                <w:kern w:val="0"/>
                <w:szCs w:val="21"/>
              </w:rPr>
            </w:pPr>
          </w:p>
          <w:p w14:paraId="107D3B0F">
            <w:pPr>
              <w:pStyle w:val="4"/>
              <w:keepNext w:val="0"/>
              <w:keepLines w:val="0"/>
              <w:suppressLineNumbers w:val="0"/>
              <w:spacing w:before="0" w:beforeAutospacing="0" w:after="0" w:afterAutospacing="0"/>
              <w:ind w:left="0" w:right="0"/>
              <w:rPr>
                <w:rFonts w:hint="default" w:cs="宋体"/>
                <w:color w:val="auto"/>
                <w:kern w:val="0"/>
                <w:szCs w:val="21"/>
              </w:rPr>
            </w:pPr>
          </w:p>
          <w:p w14:paraId="4B6947BA">
            <w:pPr>
              <w:pStyle w:val="4"/>
              <w:keepNext w:val="0"/>
              <w:keepLines w:val="0"/>
              <w:suppressLineNumbers w:val="0"/>
              <w:spacing w:before="0" w:beforeAutospacing="0" w:after="0" w:afterAutospacing="0"/>
              <w:ind w:left="0" w:right="0"/>
              <w:rPr>
                <w:rFonts w:hint="default" w:cs="宋体"/>
                <w:color w:val="auto"/>
                <w:kern w:val="0"/>
                <w:szCs w:val="21"/>
              </w:rPr>
            </w:pPr>
          </w:p>
          <w:p w14:paraId="2068B3B3">
            <w:pPr>
              <w:pStyle w:val="4"/>
              <w:keepNext w:val="0"/>
              <w:keepLines w:val="0"/>
              <w:suppressLineNumbers w:val="0"/>
              <w:spacing w:before="0" w:beforeAutospacing="0" w:after="0" w:afterAutospacing="0"/>
              <w:ind w:left="0" w:right="0"/>
              <w:rPr>
                <w:rFonts w:hint="default" w:cs="宋体"/>
                <w:color w:val="auto"/>
                <w:kern w:val="0"/>
                <w:szCs w:val="21"/>
              </w:rPr>
            </w:pPr>
          </w:p>
          <w:p w14:paraId="1B47716A">
            <w:pPr>
              <w:pStyle w:val="4"/>
              <w:keepNext w:val="0"/>
              <w:keepLines w:val="0"/>
              <w:suppressLineNumbers w:val="0"/>
              <w:spacing w:before="0" w:beforeAutospacing="0" w:after="0" w:afterAutospacing="0"/>
              <w:ind w:left="0" w:right="0"/>
              <w:rPr>
                <w:rFonts w:hint="default" w:cs="宋体"/>
                <w:color w:val="auto"/>
                <w:kern w:val="0"/>
                <w:szCs w:val="21"/>
              </w:rPr>
            </w:pPr>
          </w:p>
          <w:p w14:paraId="79CF45E3">
            <w:pPr>
              <w:pStyle w:val="4"/>
              <w:keepNext w:val="0"/>
              <w:keepLines w:val="0"/>
              <w:suppressLineNumbers w:val="0"/>
              <w:spacing w:before="0" w:beforeAutospacing="0" w:after="0" w:afterAutospacing="0"/>
              <w:ind w:left="0" w:right="0"/>
              <w:rPr>
                <w:rFonts w:hint="default" w:cs="宋体"/>
                <w:color w:val="auto"/>
                <w:kern w:val="0"/>
                <w:szCs w:val="21"/>
              </w:rPr>
            </w:pPr>
          </w:p>
          <w:p w14:paraId="2C16D6E8">
            <w:pPr>
              <w:pStyle w:val="4"/>
              <w:keepNext w:val="0"/>
              <w:keepLines w:val="0"/>
              <w:suppressLineNumbers w:val="0"/>
              <w:spacing w:before="0" w:beforeAutospacing="0" w:after="0" w:afterAutospacing="0"/>
              <w:ind w:left="0" w:right="0"/>
              <w:rPr>
                <w:rFonts w:hint="default" w:cs="宋体"/>
                <w:color w:val="auto"/>
                <w:kern w:val="0"/>
                <w:szCs w:val="21"/>
              </w:rPr>
            </w:pPr>
          </w:p>
          <w:p w14:paraId="261094F3">
            <w:pPr>
              <w:pStyle w:val="4"/>
              <w:keepNext w:val="0"/>
              <w:keepLines w:val="0"/>
              <w:suppressLineNumbers w:val="0"/>
              <w:spacing w:before="0" w:beforeAutospacing="0" w:after="0" w:afterAutospacing="0"/>
              <w:ind w:left="0" w:right="0"/>
              <w:rPr>
                <w:rFonts w:hint="default" w:cs="宋体"/>
                <w:color w:val="auto"/>
                <w:kern w:val="0"/>
                <w:szCs w:val="21"/>
              </w:rPr>
            </w:pPr>
          </w:p>
          <w:p w14:paraId="532D02C8">
            <w:pPr>
              <w:pStyle w:val="4"/>
              <w:keepNext w:val="0"/>
              <w:keepLines w:val="0"/>
              <w:suppressLineNumbers w:val="0"/>
              <w:spacing w:before="0" w:beforeAutospacing="0" w:after="0" w:afterAutospacing="0"/>
              <w:ind w:left="0" w:right="0"/>
              <w:rPr>
                <w:rFonts w:hint="default" w:cs="宋体"/>
                <w:color w:val="auto"/>
                <w:kern w:val="0"/>
                <w:szCs w:val="21"/>
              </w:rPr>
            </w:pPr>
          </w:p>
          <w:p w14:paraId="6CA4438B">
            <w:pPr>
              <w:pStyle w:val="4"/>
              <w:keepNext w:val="0"/>
              <w:keepLines w:val="0"/>
              <w:suppressLineNumbers w:val="0"/>
              <w:spacing w:before="0" w:beforeAutospacing="0" w:after="0" w:afterAutospacing="0"/>
              <w:ind w:left="0" w:right="0"/>
              <w:rPr>
                <w:rFonts w:hint="default" w:cs="宋体"/>
                <w:color w:val="auto"/>
                <w:kern w:val="0"/>
                <w:szCs w:val="21"/>
              </w:rPr>
            </w:pPr>
          </w:p>
          <w:p w14:paraId="304C7111">
            <w:pPr>
              <w:pStyle w:val="4"/>
              <w:keepNext w:val="0"/>
              <w:keepLines w:val="0"/>
              <w:suppressLineNumbers w:val="0"/>
              <w:spacing w:before="0" w:beforeAutospacing="0" w:after="0" w:afterAutospacing="0"/>
              <w:ind w:left="0" w:right="0"/>
              <w:rPr>
                <w:rFonts w:hint="default" w:cs="宋体"/>
                <w:color w:val="auto"/>
                <w:kern w:val="0"/>
                <w:szCs w:val="21"/>
              </w:rPr>
            </w:pPr>
          </w:p>
          <w:p w14:paraId="2449DCDC">
            <w:pPr>
              <w:pStyle w:val="4"/>
              <w:keepNext w:val="0"/>
              <w:keepLines w:val="0"/>
              <w:suppressLineNumbers w:val="0"/>
              <w:spacing w:before="0" w:beforeAutospacing="0" w:after="0" w:afterAutospacing="0"/>
              <w:ind w:left="0" w:right="0"/>
              <w:rPr>
                <w:rFonts w:hint="default" w:cs="宋体"/>
                <w:color w:val="auto"/>
                <w:kern w:val="0"/>
                <w:szCs w:val="21"/>
              </w:rPr>
            </w:pPr>
          </w:p>
          <w:p w14:paraId="4ACD65B1">
            <w:pPr>
              <w:pStyle w:val="4"/>
              <w:keepNext w:val="0"/>
              <w:keepLines w:val="0"/>
              <w:suppressLineNumbers w:val="0"/>
              <w:spacing w:before="0" w:beforeAutospacing="0" w:after="0" w:afterAutospacing="0"/>
              <w:ind w:left="0" w:right="0"/>
              <w:rPr>
                <w:rFonts w:hint="default" w:cs="宋体"/>
                <w:color w:val="auto"/>
                <w:kern w:val="0"/>
                <w:szCs w:val="21"/>
              </w:rPr>
            </w:pPr>
          </w:p>
          <w:p w14:paraId="6E06CA10">
            <w:pPr>
              <w:pStyle w:val="4"/>
              <w:keepNext w:val="0"/>
              <w:keepLines w:val="0"/>
              <w:suppressLineNumbers w:val="0"/>
              <w:spacing w:before="0" w:beforeAutospacing="0" w:after="0" w:afterAutospacing="0"/>
              <w:ind w:left="0" w:right="0"/>
              <w:rPr>
                <w:rFonts w:hint="default" w:cs="宋体"/>
                <w:color w:val="auto"/>
                <w:kern w:val="0"/>
                <w:szCs w:val="21"/>
              </w:rPr>
            </w:pPr>
          </w:p>
          <w:p w14:paraId="22A5DDE0">
            <w:pPr>
              <w:pStyle w:val="4"/>
              <w:keepNext w:val="0"/>
              <w:keepLines w:val="0"/>
              <w:suppressLineNumbers w:val="0"/>
              <w:spacing w:before="0" w:beforeAutospacing="0" w:after="0" w:afterAutospacing="0"/>
              <w:ind w:left="0" w:right="0"/>
              <w:rPr>
                <w:rFonts w:hint="default" w:cs="宋体"/>
                <w:color w:val="auto"/>
                <w:kern w:val="0"/>
                <w:szCs w:val="21"/>
              </w:rPr>
            </w:pPr>
          </w:p>
          <w:p w14:paraId="58A5BB82">
            <w:pPr>
              <w:pStyle w:val="4"/>
              <w:keepNext w:val="0"/>
              <w:keepLines w:val="0"/>
              <w:suppressLineNumbers w:val="0"/>
              <w:spacing w:before="0" w:beforeAutospacing="0" w:after="0" w:afterAutospacing="0"/>
              <w:ind w:left="0" w:right="0"/>
              <w:rPr>
                <w:rFonts w:hint="default" w:cs="宋体"/>
                <w:color w:val="auto"/>
                <w:kern w:val="0"/>
                <w:szCs w:val="21"/>
              </w:rPr>
            </w:pPr>
          </w:p>
          <w:p w14:paraId="52E4699E">
            <w:pPr>
              <w:pStyle w:val="4"/>
              <w:keepNext w:val="0"/>
              <w:keepLines w:val="0"/>
              <w:suppressLineNumbers w:val="0"/>
              <w:spacing w:before="0" w:beforeAutospacing="0" w:after="0" w:afterAutospacing="0"/>
              <w:ind w:left="0" w:right="0"/>
              <w:jc w:val="center"/>
              <w:rPr>
                <w:rFonts w:hint="default" w:cs="宋体"/>
                <w:color w:val="auto"/>
                <w:kern w:val="0"/>
                <w:sz w:val="21"/>
                <w:szCs w:val="21"/>
              </w:rPr>
            </w:pPr>
            <w:r>
              <w:rPr>
                <w:rFonts w:hint="eastAsia" w:cs="宋体"/>
                <w:color w:val="auto"/>
                <w:kern w:val="0"/>
                <w:sz w:val="21"/>
                <w:szCs w:val="21"/>
              </w:rPr>
              <w:t>其他符合性分析</w:t>
            </w:r>
          </w:p>
          <w:p w14:paraId="189AEC17">
            <w:pPr>
              <w:pStyle w:val="4"/>
              <w:keepNext w:val="0"/>
              <w:keepLines w:val="0"/>
              <w:suppressLineNumbers w:val="0"/>
              <w:spacing w:before="0" w:beforeAutospacing="0" w:after="0" w:afterAutospacing="0"/>
              <w:ind w:left="0" w:right="0"/>
              <w:rPr>
                <w:rFonts w:hint="default" w:cs="宋体"/>
                <w:color w:val="auto"/>
                <w:kern w:val="0"/>
                <w:szCs w:val="21"/>
              </w:rPr>
            </w:pPr>
          </w:p>
          <w:p w14:paraId="5F28BEE4">
            <w:pPr>
              <w:pStyle w:val="4"/>
              <w:keepNext w:val="0"/>
              <w:keepLines w:val="0"/>
              <w:suppressLineNumbers w:val="0"/>
              <w:spacing w:before="0" w:beforeAutospacing="0" w:after="0" w:afterAutospacing="0"/>
              <w:ind w:left="0" w:right="0"/>
              <w:rPr>
                <w:rFonts w:hint="default" w:cs="宋体"/>
                <w:color w:val="auto"/>
                <w:kern w:val="0"/>
                <w:szCs w:val="21"/>
              </w:rPr>
            </w:pPr>
          </w:p>
          <w:p w14:paraId="14A3AA1C">
            <w:pPr>
              <w:pStyle w:val="4"/>
              <w:keepNext w:val="0"/>
              <w:keepLines w:val="0"/>
              <w:suppressLineNumbers w:val="0"/>
              <w:spacing w:before="0" w:beforeAutospacing="0" w:after="0" w:afterAutospacing="0"/>
              <w:ind w:left="0" w:right="0"/>
              <w:rPr>
                <w:rFonts w:hint="default" w:cs="宋体"/>
                <w:color w:val="auto"/>
                <w:kern w:val="0"/>
                <w:szCs w:val="21"/>
              </w:rPr>
            </w:pPr>
          </w:p>
          <w:p w14:paraId="074D9FA6">
            <w:pPr>
              <w:pStyle w:val="4"/>
              <w:keepNext w:val="0"/>
              <w:keepLines w:val="0"/>
              <w:suppressLineNumbers w:val="0"/>
              <w:spacing w:before="0" w:beforeAutospacing="0" w:after="0" w:afterAutospacing="0"/>
              <w:ind w:left="0" w:right="0"/>
              <w:rPr>
                <w:rFonts w:hint="default" w:cs="宋体"/>
                <w:color w:val="auto"/>
                <w:kern w:val="0"/>
                <w:szCs w:val="21"/>
              </w:rPr>
            </w:pPr>
          </w:p>
          <w:p w14:paraId="5D659FB4">
            <w:pPr>
              <w:pStyle w:val="4"/>
              <w:keepNext w:val="0"/>
              <w:keepLines w:val="0"/>
              <w:suppressLineNumbers w:val="0"/>
              <w:spacing w:before="0" w:beforeAutospacing="0" w:after="0" w:afterAutospacing="0"/>
              <w:ind w:left="0" w:right="0"/>
              <w:rPr>
                <w:rFonts w:hint="default" w:cs="宋体"/>
                <w:color w:val="auto"/>
                <w:kern w:val="0"/>
                <w:szCs w:val="21"/>
              </w:rPr>
            </w:pPr>
          </w:p>
          <w:p w14:paraId="4E37DCAC">
            <w:pPr>
              <w:pStyle w:val="4"/>
              <w:keepNext w:val="0"/>
              <w:keepLines w:val="0"/>
              <w:suppressLineNumbers w:val="0"/>
              <w:spacing w:before="0" w:beforeAutospacing="0" w:after="0" w:afterAutospacing="0"/>
              <w:ind w:left="0" w:right="0"/>
              <w:rPr>
                <w:rFonts w:hint="default" w:cs="宋体"/>
                <w:color w:val="auto"/>
                <w:kern w:val="0"/>
                <w:szCs w:val="21"/>
              </w:rPr>
            </w:pPr>
          </w:p>
          <w:p w14:paraId="5156AC48">
            <w:pPr>
              <w:pStyle w:val="4"/>
              <w:keepNext w:val="0"/>
              <w:keepLines w:val="0"/>
              <w:suppressLineNumbers w:val="0"/>
              <w:spacing w:before="0" w:beforeAutospacing="0" w:after="0" w:afterAutospacing="0"/>
              <w:ind w:left="0" w:right="0"/>
              <w:rPr>
                <w:rFonts w:hint="default" w:cs="宋体"/>
                <w:color w:val="auto"/>
                <w:kern w:val="0"/>
                <w:szCs w:val="21"/>
              </w:rPr>
            </w:pPr>
          </w:p>
          <w:p w14:paraId="0E21AEF4">
            <w:pPr>
              <w:pStyle w:val="4"/>
              <w:keepNext w:val="0"/>
              <w:keepLines w:val="0"/>
              <w:suppressLineNumbers w:val="0"/>
              <w:spacing w:before="0" w:beforeAutospacing="0" w:after="0" w:afterAutospacing="0"/>
              <w:ind w:left="0" w:right="0"/>
              <w:rPr>
                <w:rFonts w:hint="default"/>
                <w:color w:val="auto"/>
              </w:rPr>
            </w:pPr>
          </w:p>
        </w:tc>
        <w:tc>
          <w:tcPr>
            <w:tcW w:w="6589" w:type="dxa"/>
            <w:gridSpan w:val="4"/>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14:paraId="21E73260">
            <w:pPr>
              <w:keepNext w:val="0"/>
              <w:keepLines w:val="0"/>
              <w:suppressLineNumbers w:val="0"/>
              <w:autoSpaceDE w:val="0"/>
              <w:autoSpaceDN w:val="0"/>
              <w:adjustRightInd w:val="0"/>
              <w:spacing w:before="0" w:beforeAutospacing="0" w:after="0" w:afterAutospacing="0" w:line="400" w:lineRule="exact"/>
              <w:ind w:left="53" w:leftChars="25" w:right="53" w:rightChars="25"/>
              <w:jc w:val="left"/>
              <w:rPr>
                <w:rFonts w:hint="default" w:eastAsia="黑体"/>
                <w:color w:val="auto"/>
                <w:szCs w:val="21"/>
                <w:lang w:val="zh-CN"/>
              </w:rPr>
            </w:pPr>
            <w:r>
              <w:rPr>
                <w:rFonts w:hint="default" w:eastAsia="黑体"/>
                <w:bCs/>
                <w:color w:val="auto"/>
                <w:sz w:val="22"/>
                <w:szCs w:val="22"/>
              </w:rPr>
              <w:t>1、</w:t>
            </w:r>
            <w:r>
              <w:rPr>
                <w:rFonts w:hint="default" w:eastAsia="黑体"/>
                <w:color w:val="auto"/>
                <w:szCs w:val="21"/>
                <w:lang w:val="zh-CN"/>
              </w:rPr>
              <w:t>产业政策符合性分析</w:t>
            </w:r>
          </w:p>
          <w:p w14:paraId="6EA49DF7">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default"/>
                <w:color w:val="auto"/>
                <w:szCs w:val="21"/>
              </w:rPr>
              <w:t>本项目为医院</w:t>
            </w:r>
            <w:r>
              <w:rPr>
                <w:rFonts w:hint="eastAsia"/>
                <w:color w:val="auto"/>
                <w:szCs w:val="21"/>
              </w:rPr>
              <w:t>建设项目</w:t>
            </w:r>
            <w:r>
              <w:rPr>
                <w:rFonts w:hint="default"/>
                <w:color w:val="auto"/>
                <w:szCs w:val="21"/>
              </w:rPr>
              <w:t>，根据《产业结构调整指导目录（2019年本）》及其有关条款的修改决定（第</w:t>
            </w:r>
            <w:r>
              <w:rPr>
                <w:rFonts w:hint="eastAsia"/>
                <w:color w:val="auto"/>
                <w:szCs w:val="21"/>
              </w:rPr>
              <w:t>49号</w:t>
            </w:r>
            <w:r>
              <w:rPr>
                <w:rFonts w:hint="default"/>
                <w:color w:val="auto"/>
                <w:szCs w:val="21"/>
              </w:rPr>
              <w:t>），本项目属于其中</w:t>
            </w:r>
            <w:r>
              <w:rPr>
                <w:rFonts w:hint="default"/>
                <w:b/>
                <w:bCs/>
                <w:color w:val="auto"/>
                <w:szCs w:val="21"/>
              </w:rPr>
              <w:t>鼓励类</w:t>
            </w:r>
            <w:r>
              <w:rPr>
                <w:rFonts w:hint="default"/>
                <w:color w:val="auto"/>
                <w:szCs w:val="21"/>
              </w:rPr>
              <w:t>第三十七项“卫生健康”中第</w:t>
            </w:r>
            <w:r>
              <w:rPr>
                <w:rFonts w:hint="eastAsia"/>
                <w:color w:val="auto"/>
                <w:szCs w:val="21"/>
              </w:rPr>
              <w:t>5</w:t>
            </w:r>
            <w:r>
              <w:rPr>
                <w:rFonts w:hint="default"/>
                <w:color w:val="auto"/>
                <w:szCs w:val="21"/>
              </w:rPr>
              <w:t>条“</w:t>
            </w:r>
            <w:r>
              <w:rPr>
                <w:rFonts w:hint="eastAsia"/>
                <w:color w:val="auto"/>
                <w:szCs w:val="21"/>
              </w:rPr>
              <w:t>医疗卫生服务设施建设</w:t>
            </w:r>
            <w:r>
              <w:rPr>
                <w:rFonts w:hint="default"/>
                <w:color w:val="auto"/>
                <w:szCs w:val="21"/>
              </w:rPr>
              <w:t>”类别。因此，本项目符合现行相关产业政策。建设单位已取得</w:t>
            </w:r>
            <w:r>
              <w:rPr>
                <w:rFonts w:hint="default" w:cs="宋体"/>
                <w:color w:val="auto"/>
                <w:szCs w:val="21"/>
              </w:rPr>
              <w:t>达州市通川区卫生健康局颁发的《医疗机构执业许可证》（登记号</w:t>
            </w:r>
            <w:r>
              <w:rPr>
                <w:rFonts w:hint="eastAsia" w:cs="宋体"/>
                <w:color w:val="auto"/>
                <w:szCs w:val="21"/>
              </w:rPr>
              <w:t>PDY10209-351170017A2102</w:t>
            </w:r>
            <w:r>
              <w:rPr>
                <w:rFonts w:hint="default" w:cs="宋体"/>
                <w:color w:val="auto"/>
                <w:szCs w:val="21"/>
              </w:rPr>
              <w:t>）。</w:t>
            </w:r>
          </w:p>
          <w:p w14:paraId="4816B3A5">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eastAsia="黑体" w:cs="宋体"/>
                <w:color w:val="auto"/>
                <w:kern w:val="0"/>
                <w:szCs w:val="21"/>
              </w:rPr>
            </w:pPr>
            <w:r>
              <w:rPr>
                <w:rFonts w:hint="default"/>
                <w:color w:val="auto"/>
                <w:szCs w:val="21"/>
              </w:rPr>
              <w:t>因此，本项目符合现行相关产业政策。</w:t>
            </w:r>
          </w:p>
          <w:p w14:paraId="4D5544A4">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szCs w:val="21"/>
              </w:rPr>
            </w:pPr>
            <w:r>
              <w:rPr>
                <w:rFonts w:hint="eastAsia" w:eastAsia="黑体" w:cs="宋体"/>
                <w:color w:val="auto"/>
                <w:kern w:val="0"/>
                <w:szCs w:val="21"/>
              </w:rPr>
              <w:t>2、与“三线一单”的符合性分析</w:t>
            </w:r>
          </w:p>
          <w:p w14:paraId="33A100A3">
            <w:pPr>
              <w:keepNext w:val="0"/>
              <w:keepLines w:val="0"/>
              <w:suppressLineNumbers w:val="0"/>
              <w:autoSpaceDE w:val="0"/>
              <w:autoSpaceDN w:val="0"/>
              <w:adjustRightInd w:val="0"/>
              <w:snapToGrid w:val="0"/>
              <w:spacing w:before="0" w:beforeAutospacing="0" w:after="0" w:afterAutospacing="0" w:line="400" w:lineRule="exact"/>
              <w:ind w:left="-53" w:leftChars="-25" w:right="-53" w:rightChars="-25" w:firstLine="422" w:firstLineChars="200"/>
              <w:jc w:val="left"/>
              <w:rPr>
                <w:rFonts w:hint="default"/>
                <w:color w:val="auto"/>
                <w:kern w:val="0"/>
                <w:szCs w:val="21"/>
              </w:rPr>
            </w:pPr>
            <w:r>
              <w:rPr>
                <w:rFonts w:hint="eastAsia"/>
                <w:b/>
                <w:bCs/>
                <w:color w:val="auto"/>
                <w:kern w:val="0"/>
                <w:szCs w:val="21"/>
                <w:lang w:val="zh-CN"/>
              </w:rPr>
              <w:t>（1）</w:t>
            </w:r>
            <w:r>
              <w:rPr>
                <w:rFonts w:hint="eastAsia"/>
                <w:b/>
                <w:bCs/>
                <w:color w:val="auto"/>
                <w:kern w:val="0"/>
                <w:szCs w:val="21"/>
              </w:rPr>
              <w:t>达州市</w:t>
            </w:r>
            <w:r>
              <w:rPr>
                <w:rFonts w:hint="eastAsia"/>
                <w:b/>
                <w:color w:val="auto"/>
                <w:kern w:val="0"/>
                <w:szCs w:val="21"/>
              </w:rPr>
              <w:t>生态保护红线</w:t>
            </w:r>
          </w:p>
          <w:p w14:paraId="7F395046">
            <w:pPr>
              <w:keepNext w:val="0"/>
              <w:keepLines w:val="0"/>
              <w:suppressLineNumbers w:val="0"/>
              <w:autoSpaceDE w:val="0"/>
              <w:autoSpaceDN w:val="0"/>
              <w:adjustRightInd w:val="0"/>
              <w:snapToGrid w:val="0"/>
              <w:spacing w:before="0" w:beforeAutospacing="0" w:after="0" w:afterAutospacing="0" w:line="390" w:lineRule="exact"/>
              <w:ind w:left="-53" w:leftChars="-25" w:right="-53" w:rightChars="-25" w:firstLine="420" w:firstLineChars="200"/>
              <w:jc w:val="left"/>
              <w:rPr>
                <w:rFonts w:hint="default"/>
                <w:color w:val="auto"/>
                <w:kern w:val="0"/>
                <w:szCs w:val="21"/>
                <w:lang w:val="zh-CN"/>
              </w:rPr>
            </w:pPr>
            <w:r>
              <w:rPr>
                <w:rFonts w:hint="eastAsia"/>
                <w:color w:val="auto"/>
                <w:kern w:val="0"/>
                <w:szCs w:val="21"/>
                <w:lang w:val="zh-CN"/>
              </w:rPr>
              <w:t>生态保护红线指在生态空间范围内具有特殊重要生态功能、必须强制性严格保护的区域；环境质量底线指结合环境质量现状和相关规划、功能区划要求，确定的分区域分阶段环境质量目标及相应的环境管控、污染物排放控制等要求；资源利用上线以保障生态安全和改善环境质量为目的，结合自然资源开发管控，提出的分区域分阶段的资源开发利用总量、强度、效率等上线管控要求；生态环境准入清单则是指基于环境管控单元，统筹考虑“三线”的管控要求，提出的空间布局、污染物排放、环境风险、资源开发利用等方面禁止和限制的环境准入要求。</w:t>
            </w:r>
          </w:p>
          <w:p w14:paraId="05E6D061">
            <w:pPr>
              <w:keepNext w:val="0"/>
              <w:keepLines w:val="0"/>
              <w:suppressLineNumbers w:val="0"/>
              <w:autoSpaceDE w:val="0"/>
              <w:autoSpaceDN w:val="0"/>
              <w:adjustRightInd w:val="0"/>
              <w:snapToGrid w:val="0"/>
              <w:spacing w:before="0" w:beforeAutospacing="0" w:after="0" w:afterAutospacing="0" w:line="390" w:lineRule="exact"/>
              <w:ind w:left="-53" w:leftChars="-25" w:right="-53" w:rightChars="-25" w:firstLine="420" w:firstLineChars="200"/>
              <w:jc w:val="left"/>
              <w:rPr>
                <w:rFonts w:hint="default"/>
                <w:color w:val="auto"/>
                <w:kern w:val="0"/>
                <w:szCs w:val="21"/>
                <w:lang w:val="zh-CN"/>
              </w:rPr>
            </w:pPr>
            <w:r>
              <w:rPr>
                <w:rFonts w:hint="eastAsia"/>
                <w:color w:val="auto"/>
                <w:kern w:val="0"/>
                <w:szCs w:val="21"/>
                <w:lang w:val="zh-CN"/>
              </w:rPr>
              <w:t>根据《长江经济带战略环境评价四川省达州市“三线一单”生态环境分区管控优化完善研究报告》，达州市生态保护红线面积1214.56km</w:t>
            </w:r>
            <w:r>
              <w:rPr>
                <w:rFonts w:hint="eastAsia"/>
                <w:color w:val="auto"/>
                <w:kern w:val="0"/>
                <w:szCs w:val="21"/>
                <w:vertAlign w:val="superscript"/>
                <w:lang w:val="zh-CN"/>
              </w:rPr>
              <w:t>2</w:t>
            </w:r>
            <w:r>
              <w:rPr>
                <w:rFonts w:hint="eastAsia"/>
                <w:color w:val="auto"/>
                <w:kern w:val="0"/>
                <w:szCs w:val="21"/>
                <w:lang w:val="zh-CN"/>
              </w:rPr>
              <w:t>，占达州市国土面积比例的7.33%。达州市生态保护红线图如下。</w:t>
            </w:r>
          </w:p>
          <w:p w14:paraId="03E5D75F">
            <w:pPr>
              <w:keepNext w:val="0"/>
              <w:keepLines w:val="0"/>
              <w:suppressLineNumbers w:val="0"/>
              <w:spacing w:before="0" w:beforeAutospacing="0" w:after="0" w:afterAutospacing="0"/>
              <w:ind w:left="0" w:right="0"/>
              <w:jc w:val="center"/>
              <w:rPr>
                <w:rFonts w:hint="default"/>
                <w:color w:val="auto"/>
              </w:rPr>
            </w:pPr>
            <w:r>
              <w:rPr>
                <w:rFonts w:hint="default"/>
                <w:color w:val="auto"/>
              </w:rPr>
              <mc:AlternateContent>
                <mc:Choice Requires="wps">
                  <w:drawing>
                    <wp:anchor distT="0" distB="0" distL="114300" distR="114300" simplePos="0" relativeHeight="251695104" behindDoc="0" locked="0" layoutInCell="1" allowOverlap="1">
                      <wp:simplePos x="0" y="0"/>
                      <wp:positionH relativeFrom="column">
                        <wp:posOffset>1881505</wp:posOffset>
                      </wp:positionH>
                      <wp:positionV relativeFrom="paragraph">
                        <wp:posOffset>1845945</wp:posOffset>
                      </wp:positionV>
                      <wp:extent cx="805180" cy="284480"/>
                      <wp:effectExtent l="514350" t="476250" r="13970" b="20320"/>
                      <wp:wrapNone/>
                      <wp:docPr id="252" name="圆角矩形标注 252"/>
                      <wp:cNvGraphicFramePr/>
                      <a:graphic xmlns:a="http://schemas.openxmlformats.org/drawingml/2006/main">
                        <a:graphicData uri="http://schemas.microsoft.com/office/word/2010/wordprocessingShape">
                          <wps:wsp>
                            <wps:cNvSpPr>
                              <a:spLocks noChangeArrowheads="1"/>
                            </wps:cNvSpPr>
                            <wps:spPr bwMode="auto">
                              <a:xfrm>
                                <a:off x="0" y="0"/>
                                <a:ext cx="805180" cy="284480"/>
                              </a:xfrm>
                              <a:prstGeom prst="wedgeRoundRectCallout">
                                <a:avLst>
                                  <a:gd name="adj1" fmla="val -107769"/>
                                  <a:gd name="adj2" fmla="val -200883"/>
                                  <a:gd name="adj3" fmla="val 16667"/>
                                </a:avLst>
                              </a:prstGeom>
                              <a:noFill/>
                              <a:ln w="9525">
                                <a:solidFill>
                                  <a:srgbClr val="FF0000"/>
                                </a:solidFill>
                                <a:miter lim="800000"/>
                              </a:ln>
                            </wps:spPr>
                            <wps:txbx>
                              <w:txbxContent>
                                <w:p w14:paraId="35AD3444">
                                  <w:pPr>
                                    <w:spacing w:line="240" w:lineRule="exact"/>
                                    <w:ind w:left="-105" w:leftChars="-50" w:right="-105" w:rightChars="-50"/>
                                    <w:jc w:val="center"/>
                                    <w:rPr>
                                      <w:b/>
                                      <w:color w:val="FF0000"/>
                                    </w:rPr>
                                  </w:pPr>
                                  <w:r>
                                    <w:rPr>
                                      <w:b/>
                                      <w:color w:val="FF0000"/>
                                    </w:rPr>
                                    <w:t>项目所在地</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48.15pt;margin-top:145.35pt;height:22.4pt;width:63.4pt;z-index:251695104;mso-width-relative:page;mso-height-relative:page;" filled="f" stroked="t" coordsize="21600,21600" o:gfxdata="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wjxF19kAAAALAQAADwAA&#10;AAAAAAABACAAAAAiAAAAZHJzL2Rvd25yZXYueG1sUEsBAhQAFAAAAAgAh07iQGbBuh6HAgAA6gQA&#10;AA4AAAAAAAAAAQAgAAAAKAEAAGRycy9lMm9Eb2MueG1sUEsFBgAAAAAGAAYAWQEAACEGAAAAAA==&#10;" adj="-12478,-32591,14400">
                      <v:fill on="f" focussize="0,0"/>
                      <v:stroke color="#FF0000" miterlimit="8" joinstyle="miter"/>
                      <v:imagedata o:title=""/>
                      <o:lock v:ext="edit" aspectratio="f"/>
                      <v:textbox>
                        <w:txbxContent>
                          <w:p w14:paraId="35AD3444">
                            <w:pPr>
                              <w:spacing w:line="240" w:lineRule="exact"/>
                              <w:ind w:left="-105" w:leftChars="-50" w:right="-105" w:rightChars="-50"/>
                              <w:jc w:val="center"/>
                              <w:rPr>
                                <w:b/>
                                <w:color w:val="FF0000"/>
                              </w:rPr>
                            </w:pPr>
                            <w:r>
                              <w:rPr>
                                <w:b/>
                                <w:color w:val="FF0000"/>
                              </w:rPr>
                              <w:t>项目所在地</w:t>
                            </w:r>
                          </w:p>
                        </w:txbxContent>
                      </v:textbox>
                    </v:shape>
                  </w:pict>
                </mc:Fallback>
              </mc:AlternateContent>
            </w:r>
            <w:r>
              <w:rPr>
                <w:rFonts w:hint="default"/>
                <w:color w:val="auto"/>
              </w:rPr>
              <mc:AlternateContent>
                <mc:Choice Requires="wps">
                  <w:drawing>
                    <wp:anchor distT="0" distB="0" distL="114300" distR="114300" simplePos="0" relativeHeight="251696128" behindDoc="0" locked="0" layoutInCell="1" allowOverlap="1">
                      <wp:simplePos x="0" y="0"/>
                      <wp:positionH relativeFrom="column">
                        <wp:posOffset>1355090</wp:posOffset>
                      </wp:positionH>
                      <wp:positionV relativeFrom="paragraph">
                        <wp:posOffset>1341120</wp:posOffset>
                      </wp:positionV>
                      <wp:extent cx="74930" cy="88265"/>
                      <wp:effectExtent l="19050" t="38100" r="39370" b="64135"/>
                      <wp:wrapNone/>
                      <wp:docPr id="253" name="五角星 253"/>
                      <wp:cNvGraphicFramePr/>
                      <a:graphic xmlns:a="http://schemas.openxmlformats.org/drawingml/2006/main">
                        <a:graphicData uri="http://schemas.microsoft.com/office/word/2010/wordprocessingShape">
                          <wps:wsp>
                            <wps:cNvSpPr>
                              <a:spLocks noChangeArrowheads="1"/>
                            </wps:cNvSpPr>
                            <wps:spPr bwMode="auto">
                              <a:xfrm>
                                <a:off x="0" y="0"/>
                                <a:ext cx="74930" cy="88265"/>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106.7pt;margin-top:105.6pt;height:6.95pt;width:5.9pt;z-index:251696128;mso-width-relative:page;mso-height-relative:page;" fillcolor="#FF0000" filled="t" stroked="t" coordsize="74930,88265" o:gfxdata="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Br3otcAAAALAQAADwAAAAAAAAABACAAAAAiAAAAZHJzL2Rvd25y&#10;ZXYueG1sUEsBAhQAFAAAAAgAh07iQFF9sNQ4AgAAdAQAAA4AAAAAAAAAAQAgAAAAJgEAAGRycy9l&#10;Mm9Eb2MueG1sUEsFBgAAAAAGAAYAWQEAANAFAAAAAA==&#10;" path="m0,33714l28620,33714,37465,0,46309,33714,74929,33714,51775,54550,60619,88264,37465,67427,14310,88264,23154,54550xe">
                      <v:path o:connectlocs="37465,0;0,33714;14310,88264;60619,88264;74929,33714" o:connectangles="247,164,82,82,0"/>
                      <v:fill on="t" focussize="0,0"/>
                      <v:stroke color="#FF0000" miterlimit="8" joinstyle="miter"/>
                      <v:imagedata o:title=""/>
                      <o:lock v:ext="edit" aspectratio="f"/>
                    </v:shape>
                  </w:pict>
                </mc:Fallback>
              </mc:AlternateContent>
            </w:r>
            <w:r>
              <w:rPr>
                <w:rFonts w:hint="default" w:ascii="宋体" w:hAnsi="宋体" w:cs="宋体"/>
                <w:color w:val="auto"/>
                <w:kern w:val="0"/>
                <w:sz w:val="24"/>
              </w:rPr>
              <w:drawing>
                <wp:inline distT="0" distB="0" distL="0" distR="0">
                  <wp:extent cx="3896995" cy="2533650"/>
                  <wp:effectExtent l="0" t="0" r="8255" b="0"/>
                  <wp:docPr id="224" name="图片 224" descr="C:\Users\ADMINI~1\AppData\Local\Temp\ksohtml767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C:\Users\ADMINI~1\AppData\Local\Temp\ksohtml7676\wps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896995" cy="2533650"/>
                          </a:xfrm>
                          <a:prstGeom prst="rect">
                            <a:avLst/>
                          </a:prstGeom>
                          <a:noFill/>
                          <a:ln>
                            <a:noFill/>
                          </a:ln>
                        </pic:spPr>
                      </pic:pic>
                    </a:graphicData>
                  </a:graphic>
                </wp:inline>
              </w:drawing>
            </w:r>
          </w:p>
          <w:p w14:paraId="2E95183F">
            <w:pPr>
              <w:keepNext w:val="0"/>
              <w:keepLines w:val="0"/>
              <w:suppressLineNumbers w:val="0"/>
              <w:spacing w:before="0" w:beforeAutospacing="0" w:after="0" w:afterAutospacing="0" w:line="360" w:lineRule="auto"/>
              <w:ind w:left="0" w:right="0" w:firstLine="420" w:firstLineChars="200"/>
              <w:rPr>
                <w:rFonts w:hint="default" w:ascii="宋体" w:hAnsi="宋体"/>
                <w:b/>
                <w:bCs/>
                <w:color w:val="auto"/>
                <w:sz w:val="24"/>
              </w:rPr>
            </w:pPr>
            <w:r>
              <w:rPr>
                <w:rFonts w:hint="eastAsia"/>
                <w:color w:val="auto"/>
              </w:rPr>
              <mc:AlternateContent>
                <mc:Choice Requires="wps">
                  <w:drawing>
                    <wp:anchor distT="0" distB="0" distL="114300" distR="114300" simplePos="0" relativeHeight="251694080" behindDoc="0" locked="0" layoutInCell="1" allowOverlap="1">
                      <wp:simplePos x="0" y="0"/>
                      <wp:positionH relativeFrom="column">
                        <wp:posOffset>114935</wp:posOffset>
                      </wp:positionH>
                      <wp:positionV relativeFrom="paragraph">
                        <wp:posOffset>13970</wp:posOffset>
                      </wp:positionV>
                      <wp:extent cx="3780155" cy="255905"/>
                      <wp:effectExtent l="0" t="0" r="0" b="0"/>
                      <wp:wrapNone/>
                      <wp:docPr id="251" name="文本框 251"/>
                      <wp:cNvGraphicFramePr/>
                      <a:graphic xmlns:a="http://schemas.openxmlformats.org/drawingml/2006/main">
                        <a:graphicData uri="http://schemas.microsoft.com/office/word/2010/wordprocessingShape">
                          <wps:wsp>
                            <wps:cNvSpPr txBox="1">
                              <a:spLocks noChangeArrowheads="1"/>
                            </wps:cNvSpPr>
                            <wps:spPr bwMode="auto">
                              <a:xfrm>
                                <a:off x="0" y="0"/>
                                <a:ext cx="3780155" cy="255905"/>
                              </a:xfrm>
                              <a:prstGeom prst="rect">
                                <a:avLst/>
                              </a:prstGeom>
                              <a:noFill/>
                              <a:ln>
                                <a:noFill/>
                              </a:ln>
                            </wps:spPr>
                            <wps:txbx>
                              <w:txbxContent>
                                <w:p w14:paraId="73E158BD">
                                  <w:pPr>
                                    <w:jc w:val="center"/>
                                    <w:rPr>
                                      <w:sz w:val="19"/>
                                      <w:szCs w:val="21"/>
                                    </w:rPr>
                                  </w:pPr>
                                  <w:r>
                                    <w:rPr>
                                      <w:rFonts w:hint="eastAsia" w:ascii="黑体" w:hAnsi="黑体" w:eastAsia="黑体"/>
                                      <w:sz w:val="19"/>
                                      <w:szCs w:val="21"/>
                                    </w:rPr>
                                    <w:t>图</w:t>
                                  </w:r>
                                  <w:r>
                                    <w:rPr>
                                      <w:rFonts w:hint="eastAsia" w:eastAsia="黑体"/>
                                      <w:sz w:val="19"/>
                                      <w:szCs w:val="21"/>
                                      <w:lang w:val="en-US" w:eastAsia="zh-CN"/>
                                    </w:rPr>
                                    <w:t>1-1</w:t>
                                  </w:r>
                                  <w:r>
                                    <w:rPr>
                                      <w:rFonts w:hint="eastAsia" w:ascii="黑体" w:hAnsi="黑体" w:eastAsia="黑体"/>
                                      <w:sz w:val="19"/>
                                      <w:szCs w:val="21"/>
                                    </w:rPr>
                                    <w:t xml:space="preserve">   达州市生态保护红线分布图</w:t>
                                  </w:r>
                                </w:p>
                                <w:p w14:paraId="0B0E166E"/>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9.05pt;margin-top:1.1pt;height:20.15pt;width:297.65pt;z-index:251694080;mso-width-relative:page;mso-height-relative:page;" filled="f" stroked="f" coordsize="21600,21600" o:gfxdata="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WvjuA1AAAAAcBAAAPAAAA&#10;AAAAAAEAIAAAACIAAABkcnMvZG93bnJldi54bWxQSwECFAAUAAAACACHTuJA06IVSBkCAAAZBAAA&#10;DgAAAAAAAAABACAAAAAjAQAAZHJzL2Uyb0RvYy54bWxQSwUGAAAAAAYABgBZAQAArgUAAAAA&#10;">
                      <v:fill on="f" focussize="0,0"/>
                      <v:stroke on="f"/>
                      <v:imagedata o:title=""/>
                      <o:lock v:ext="edit" aspectratio="f"/>
                      <v:textbox>
                        <w:txbxContent>
                          <w:p w14:paraId="73E158BD">
                            <w:pPr>
                              <w:jc w:val="center"/>
                              <w:rPr>
                                <w:sz w:val="19"/>
                                <w:szCs w:val="21"/>
                              </w:rPr>
                            </w:pPr>
                            <w:r>
                              <w:rPr>
                                <w:rFonts w:hint="eastAsia" w:ascii="黑体" w:hAnsi="黑体" w:eastAsia="黑体"/>
                                <w:sz w:val="19"/>
                                <w:szCs w:val="21"/>
                              </w:rPr>
                              <w:t>图</w:t>
                            </w:r>
                            <w:r>
                              <w:rPr>
                                <w:rFonts w:hint="eastAsia" w:eastAsia="黑体"/>
                                <w:sz w:val="19"/>
                                <w:szCs w:val="21"/>
                                <w:lang w:val="en-US" w:eastAsia="zh-CN"/>
                              </w:rPr>
                              <w:t>1-1</w:t>
                            </w:r>
                            <w:r>
                              <w:rPr>
                                <w:rFonts w:hint="eastAsia" w:ascii="黑体" w:hAnsi="黑体" w:eastAsia="黑体"/>
                                <w:sz w:val="19"/>
                                <w:szCs w:val="21"/>
                              </w:rPr>
                              <w:t xml:space="preserve">   达州市生态保护红线分布图</w:t>
                            </w:r>
                          </w:p>
                          <w:p w14:paraId="0B0E166E"/>
                        </w:txbxContent>
                      </v:textbox>
                    </v:shape>
                  </w:pict>
                </mc:Fallback>
              </mc:AlternateContent>
            </w:r>
          </w:p>
          <w:p w14:paraId="2AE15249">
            <w:pPr>
              <w:keepNext w:val="0"/>
              <w:keepLines w:val="0"/>
              <w:suppressLineNumbers w:val="0"/>
              <w:autoSpaceDE w:val="0"/>
              <w:autoSpaceDN w:val="0"/>
              <w:adjustRightInd w:val="0"/>
              <w:snapToGrid w:val="0"/>
              <w:spacing w:before="0" w:beforeAutospacing="0" w:after="0" w:afterAutospacing="0" w:line="390" w:lineRule="exact"/>
              <w:ind w:left="-53" w:leftChars="-25" w:right="-53" w:rightChars="-25" w:firstLine="420" w:firstLineChars="200"/>
              <w:jc w:val="left"/>
              <w:rPr>
                <w:rFonts w:hint="default"/>
                <w:color w:val="auto"/>
                <w:kern w:val="0"/>
                <w:szCs w:val="21"/>
                <w:lang w:val="zh-CN"/>
              </w:rPr>
            </w:pPr>
            <w:r>
              <w:rPr>
                <w:rFonts w:hint="eastAsia"/>
                <w:color w:val="auto"/>
                <w:kern w:val="0"/>
                <w:szCs w:val="21"/>
                <w:lang w:val="zh-CN"/>
              </w:rPr>
              <w:t>由上图可知，项目占地范围不涉及达州市生态保护红线。</w:t>
            </w:r>
          </w:p>
          <w:p w14:paraId="1AFED2A8">
            <w:pPr>
              <w:keepNext w:val="0"/>
              <w:keepLines w:val="0"/>
              <w:suppressLineNumbers w:val="0"/>
              <w:autoSpaceDE w:val="0"/>
              <w:autoSpaceDN w:val="0"/>
              <w:adjustRightInd w:val="0"/>
              <w:snapToGrid w:val="0"/>
              <w:spacing w:before="0" w:beforeAutospacing="0" w:after="0" w:afterAutospacing="0" w:line="390" w:lineRule="exact"/>
              <w:ind w:left="-53" w:leftChars="-25" w:right="-53" w:rightChars="-25" w:firstLine="422" w:firstLineChars="200"/>
              <w:jc w:val="left"/>
              <w:rPr>
                <w:rFonts w:hint="default"/>
                <w:b/>
                <w:bCs/>
                <w:color w:val="auto"/>
                <w:kern w:val="0"/>
                <w:szCs w:val="21"/>
              </w:rPr>
            </w:pPr>
            <w:r>
              <w:rPr>
                <w:rFonts w:hint="default"/>
                <w:b/>
                <w:bCs/>
                <w:color w:val="auto"/>
                <w:kern w:val="0"/>
                <w:szCs w:val="21"/>
              </w:rPr>
              <w:t>（</w:t>
            </w:r>
            <w:r>
              <w:rPr>
                <w:rFonts w:hint="eastAsia"/>
                <w:b/>
                <w:bCs/>
                <w:color w:val="auto"/>
                <w:kern w:val="0"/>
                <w:szCs w:val="21"/>
              </w:rPr>
              <w:t>2</w:t>
            </w:r>
            <w:r>
              <w:rPr>
                <w:rFonts w:hint="default"/>
                <w:b/>
                <w:bCs/>
                <w:color w:val="auto"/>
                <w:kern w:val="0"/>
                <w:szCs w:val="21"/>
              </w:rPr>
              <w:t>）项目所属环境管控单元</w:t>
            </w:r>
          </w:p>
          <w:p w14:paraId="0C25C88A">
            <w:pPr>
              <w:keepNext w:val="0"/>
              <w:keepLines w:val="0"/>
              <w:suppressLineNumbers w:val="0"/>
              <w:autoSpaceDE w:val="0"/>
              <w:autoSpaceDN w:val="0"/>
              <w:adjustRightInd w:val="0"/>
              <w:snapToGrid w:val="0"/>
              <w:spacing w:before="0" w:beforeAutospacing="0" w:after="0" w:afterAutospacing="0" w:line="390" w:lineRule="exact"/>
              <w:ind w:left="-53" w:leftChars="-25" w:right="-53" w:rightChars="-25" w:firstLine="420" w:firstLineChars="200"/>
              <w:rPr>
                <w:rFonts w:hint="default"/>
                <w:color w:val="auto"/>
                <w:kern w:val="0"/>
                <w:szCs w:val="21"/>
                <w:lang w:val="zh-CN"/>
              </w:rPr>
            </w:pPr>
            <w:r>
              <w:rPr>
                <w:rFonts w:hint="default"/>
                <w:color w:val="auto"/>
                <w:kern w:val="0"/>
                <w:szCs w:val="21"/>
                <w:lang w:val="zh-CN"/>
              </w:rPr>
              <w:t>根据《达州市人民政府&lt;关于落实生态保护红线、环境质量底线、资源利用上线制定生态环境准入清单实施生态环境分区管控的通知&gt;》（达市府发〔2021〕17号），将全市行政区域从生态环境保护角度划分为优先保护、重点管控和一般管控三类环境管控单元，全市共划定46个综合环境管控单元。</w:t>
            </w:r>
          </w:p>
          <w:p w14:paraId="67E3D042">
            <w:pPr>
              <w:keepNext w:val="0"/>
              <w:keepLines w:val="0"/>
              <w:suppressLineNumbers w:val="0"/>
              <w:autoSpaceDE w:val="0"/>
              <w:autoSpaceDN w:val="0"/>
              <w:adjustRightInd w:val="0"/>
              <w:snapToGrid w:val="0"/>
              <w:spacing w:before="0" w:beforeAutospacing="0" w:after="0" w:afterAutospacing="0" w:line="390" w:lineRule="exact"/>
              <w:ind w:left="-53" w:leftChars="-25" w:right="-53" w:rightChars="-25" w:firstLine="422" w:firstLineChars="200"/>
              <w:rPr>
                <w:rFonts w:hint="default"/>
                <w:color w:val="auto"/>
                <w:kern w:val="0"/>
                <w:szCs w:val="21"/>
                <w:lang w:val="zh-CN"/>
              </w:rPr>
            </w:pPr>
            <w:r>
              <w:rPr>
                <w:rFonts w:hint="default"/>
                <w:b/>
                <w:bCs/>
                <w:color w:val="auto"/>
                <w:kern w:val="0"/>
                <w:szCs w:val="21"/>
                <w:lang w:val="zh-CN"/>
              </w:rPr>
              <w:t>优先保护单元。</w:t>
            </w:r>
            <w:r>
              <w:rPr>
                <w:rFonts w:hint="default"/>
                <w:color w:val="auto"/>
                <w:kern w:val="0"/>
                <w:szCs w:val="21"/>
                <w:lang w:val="zh-CN"/>
              </w:rPr>
              <w:t>以生态环境保护为主的区域，全市划分优先保护单元17个，主要包括生态保护红线、自然保护地、饮用水水源保护区等。</w:t>
            </w:r>
          </w:p>
          <w:p w14:paraId="2493F647">
            <w:pPr>
              <w:keepNext w:val="0"/>
              <w:keepLines w:val="0"/>
              <w:suppressLineNumbers w:val="0"/>
              <w:autoSpaceDE w:val="0"/>
              <w:autoSpaceDN w:val="0"/>
              <w:adjustRightInd w:val="0"/>
              <w:snapToGrid w:val="0"/>
              <w:spacing w:before="0" w:beforeAutospacing="0" w:after="0" w:afterAutospacing="0" w:line="390" w:lineRule="exact"/>
              <w:ind w:left="-53" w:leftChars="-25" w:right="-53" w:rightChars="-25" w:firstLine="422" w:firstLineChars="200"/>
              <w:rPr>
                <w:rFonts w:hint="default"/>
                <w:color w:val="auto"/>
                <w:kern w:val="0"/>
                <w:szCs w:val="21"/>
                <w:lang w:val="zh-CN"/>
              </w:rPr>
            </w:pPr>
            <w:r>
              <w:rPr>
                <w:rFonts w:hint="default"/>
                <w:b/>
                <w:bCs/>
                <w:color w:val="auto"/>
                <w:kern w:val="0"/>
                <w:szCs w:val="21"/>
                <w:lang w:val="zh-CN"/>
              </w:rPr>
              <w:t>重点管控单元。</w:t>
            </w:r>
            <w:r>
              <w:rPr>
                <w:rFonts w:hint="default"/>
                <w:color w:val="auto"/>
                <w:kern w:val="0"/>
                <w:szCs w:val="21"/>
                <w:lang w:val="zh-CN"/>
              </w:rPr>
              <w:t>涉及水、大气、土壤、自然资源等资源环境要素重点管控的区域，全市划分重点管控单元22个，主要包括人口密集的城镇规划区和产业集聚的工业园区（工业集聚区）等。</w:t>
            </w:r>
          </w:p>
          <w:p w14:paraId="34A8BB49">
            <w:pPr>
              <w:keepNext w:val="0"/>
              <w:keepLines w:val="0"/>
              <w:suppressLineNumbers w:val="0"/>
              <w:autoSpaceDE w:val="0"/>
              <w:autoSpaceDN w:val="0"/>
              <w:adjustRightInd w:val="0"/>
              <w:snapToGrid w:val="0"/>
              <w:spacing w:before="0" w:beforeAutospacing="0" w:after="0" w:afterAutospacing="0" w:line="390" w:lineRule="exact"/>
              <w:ind w:left="-53" w:leftChars="-25" w:right="-53" w:rightChars="-25" w:firstLine="422" w:firstLineChars="200"/>
              <w:jc w:val="left"/>
              <w:rPr>
                <w:rFonts w:hint="default"/>
                <w:color w:val="auto"/>
                <w:kern w:val="0"/>
                <w:szCs w:val="21"/>
                <w:lang w:val="zh-CN"/>
              </w:rPr>
            </w:pPr>
            <w:r>
              <w:rPr>
                <w:rFonts w:hint="default"/>
                <w:b/>
                <w:bCs/>
                <w:color w:val="auto"/>
                <w:kern w:val="0"/>
                <w:szCs w:val="21"/>
                <w:lang w:val="zh-CN"/>
              </w:rPr>
              <w:t>一般管控单元。</w:t>
            </w:r>
            <w:r>
              <w:rPr>
                <w:rFonts w:hint="default"/>
                <w:color w:val="auto"/>
                <w:kern w:val="0"/>
                <w:szCs w:val="21"/>
                <w:lang w:val="zh-CN"/>
              </w:rPr>
              <w:t>除优先保护单元和重点管控单元之外的其他区域，全市共划分一般管控单元7个。。</w:t>
            </w:r>
          </w:p>
          <w:p w14:paraId="52FA2DBB">
            <w:pPr>
              <w:keepNext w:val="0"/>
              <w:keepLines w:val="0"/>
              <w:suppressLineNumbers w:val="0"/>
              <w:autoSpaceDE w:val="0"/>
              <w:autoSpaceDN w:val="0"/>
              <w:adjustRightInd w:val="0"/>
              <w:snapToGrid w:val="0"/>
              <w:spacing w:before="0" w:beforeAutospacing="0" w:after="0" w:afterAutospacing="0" w:line="390" w:lineRule="exact"/>
              <w:ind w:left="-31" w:leftChars="-15" w:right="-31" w:rightChars="-15" w:firstLine="420" w:firstLineChars="200"/>
              <w:rPr>
                <w:rFonts w:hint="default" w:eastAsia="黑体"/>
                <w:color w:val="auto"/>
                <w:kern w:val="0"/>
                <w:sz w:val="20"/>
                <w:szCs w:val="20"/>
              </w:rPr>
            </w:pPr>
            <w:r>
              <w:rPr>
                <w:rFonts w:hint="default"/>
                <w:color w:val="auto"/>
                <w:kern w:val="0"/>
                <w:szCs w:val="21"/>
              </w:rPr>
              <w:t>本项目位于</w:t>
            </w:r>
            <w:r>
              <w:rPr>
                <w:rFonts w:hint="eastAsia"/>
                <w:color w:val="auto"/>
                <w:kern w:val="0"/>
                <w:szCs w:val="21"/>
              </w:rPr>
              <w:t>达州市通川区罗江镇高石社区</w:t>
            </w:r>
            <w:r>
              <w:rPr>
                <w:rFonts w:hint="default"/>
                <w:color w:val="auto"/>
                <w:szCs w:val="21"/>
                <w:lang w:val="zh-CN"/>
              </w:rPr>
              <w:t>，属于城镇重点管控单元。</w:t>
            </w:r>
            <w:r>
              <w:rPr>
                <w:rFonts w:hint="default"/>
                <w:color w:val="auto"/>
                <w:szCs w:val="21"/>
              </w:rPr>
              <w:t>项目涉及到环境管控单元</w:t>
            </w:r>
            <w:r>
              <w:rPr>
                <w:rFonts w:hint="eastAsia"/>
                <w:color w:val="auto"/>
                <w:szCs w:val="21"/>
              </w:rPr>
              <w:t>3</w:t>
            </w:r>
            <w:r>
              <w:rPr>
                <w:rFonts w:hint="default"/>
                <w:color w:val="auto"/>
                <w:szCs w:val="21"/>
              </w:rPr>
              <w:t>个，涉及到管控单元见下表。</w:t>
            </w:r>
          </w:p>
          <w:p w14:paraId="73FC4368">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eastAsia="黑体"/>
                <w:color w:val="auto"/>
                <w:kern w:val="0"/>
                <w:sz w:val="18"/>
                <w:szCs w:val="18"/>
                <w:lang w:val="zh-CN"/>
              </w:rPr>
            </w:pPr>
          </w:p>
          <w:p w14:paraId="44F6B43D">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eastAsia="黑体"/>
                <w:color w:val="auto"/>
                <w:kern w:val="0"/>
                <w:sz w:val="18"/>
                <w:szCs w:val="18"/>
                <w:lang w:val="zh-CN"/>
              </w:rPr>
            </w:pPr>
          </w:p>
          <w:p w14:paraId="2D9C8C09">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eastAsia="黑体"/>
                <w:color w:val="auto"/>
                <w:kern w:val="0"/>
                <w:sz w:val="18"/>
                <w:szCs w:val="18"/>
                <w:lang w:val="zh-CN"/>
              </w:rPr>
            </w:pPr>
          </w:p>
          <w:p w14:paraId="7111DAEF">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eastAsia="黑体"/>
                <w:color w:val="auto"/>
                <w:kern w:val="0"/>
                <w:sz w:val="18"/>
                <w:szCs w:val="18"/>
                <w:lang w:val="zh-CN"/>
              </w:rPr>
            </w:pPr>
          </w:p>
          <w:p w14:paraId="47B92D21">
            <w:pPr>
              <w:keepNext w:val="0"/>
              <w:keepLines w:val="0"/>
              <w:suppressLineNumbers w:val="0"/>
              <w:autoSpaceDE w:val="0"/>
              <w:autoSpaceDN w:val="0"/>
              <w:adjustRightInd w:val="0"/>
              <w:snapToGrid w:val="0"/>
              <w:spacing w:before="0" w:beforeAutospacing="0" w:after="0" w:afterAutospacing="0" w:line="360" w:lineRule="exact"/>
              <w:ind w:left="0" w:right="0"/>
              <w:jc w:val="center"/>
              <w:rPr>
                <w:rFonts w:hint="default" w:eastAsia="黑体"/>
                <w:color w:val="auto"/>
                <w:kern w:val="0"/>
                <w:sz w:val="18"/>
                <w:szCs w:val="18"/>
              </w:rPr>
            </w:pPr>
            <w:r>
              <w:rPr>
                <w:rFonts w:hint="default" w:eastAsia="黑体"/>
                <w:color w:val="auto"/>
                <w:kern w:val="0"/>
                <w:sz w:val="18"/>
                <w:szCs w:val="18"/>
                <w:lang w:val="zh-CN"/>
              </w:rPr>
              <w:t>表</w:t>
            </w:r>
            <w:r>
              <w:rPr>
                <w:rFonts w:hint="eastAsia" w:eastAsia="黑体"/>
                <w:color w:val="auto"/>
                <w:kern w:val="0"/>
                <w:sz w:val="18"/>
                <w:szCs w:val="18"/>
              </w:rPr>
              <w:t xml:space="preserve">1-1  </w:t>
            </w:r>
            <w:r>
              <w:rPr>
                <w:rFonts w:hint="default" w:eastAsia="黑体"/>
                <w:color w:val="auto"/>
                <w:kern w:val="0"/>
                <w:sz w:val="18"/>
                <w:szCs w:val="18"/>
                <w:lang w:val="zh-CN"/>
              </w:rPr>
              <w:t xml:space="preserve"> 项目涉及到管控单元</w:t>
            </w:r>
            <w:r>
              <w:rPr>
                <w:rFonts w:hint="default" w:eastAsia="黑体"/>
                <w:color w:val="auto"/>
                <w:kern w:val="0"/>
                <w:sz w:val="18"/>
                <w:szCs w:val="18"/>
              </w:rPr>
              <w:t>一览表</w:t>
            </w:r>
          </w:p>
          <w:tbl>
            <w:tblPr>
              <w:tblStyle w:val="13"/>
              <w:tblW w:w="6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1386"/>
              <w:gridCol w:w="731"/>
              <w:gridCol w:w="1145"/>
              <w:gridCol w:w="1689"/>
            </w:tblGrid>
            <w:tr w14:paraId="7762B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9" w:hRule="atLeast"/>
                <w:tblHeader/>
              </w:trPr>
              <w:tc>
                <w:tcPr>
                  <w:tcW w:w="1447" w:type="dxa"/>
                  <w:vAlign w:val="center"/>
                </w:tcPr>
                <w:p w14:paraId="144C876E">
                  <w:pPr>
                    <w:keepNext w:val="0"/>
                    <w:keepLines w:val="0"/>
                    <w:suppressLineNumbers w:val="0"/>
                    <w:spacing w:before="0" w:beforeAutospacing="0" w:after="0" w:afterAutospacing="0" w:line="300" w:lineRule="exact"/>
                    <w:ind w:left="-92" w:leftChars="-44" w:right="-92" w:rightChars="-44"/>
                    <w:jc w:val="center"/>
                    <w:rPr>
                      <w:rFonts w:hint="default"/>
                      <w:b/>
                      <w:bCs/>
                      <w:color w:val="auto"/>
                      <w:spacing w:val="-1"/>
                      <w:sz w:val="15"/>
                      <w:szCs w:val="15"/>
                    </w:rPr>
                  </w:pPr>
                  <w:r>
                    <w:rPr>
                      <w:rFonts w:hint="default"/>
                      <w:b/>
                      <w:bCs/>
                      <w:color w:val="auto"/>
                      <w:spacing w:val="-1"/>
                      <w:sz w:val="15"/>
                      <w:szCs w:val="15"/>
                    </w:rPr>
                    <w:t>环境管控单元编码</w:t>
                  </w:r>
                </w:p>
              </w:tc>
              <w:tc>
                <w:tcPr>
                  <w:tcW w:w="1386" w:type="dxa"/>
                  <w:vAlign w:val="center"/>
                </w:tcPr>
                <w:p w14:paraId="1C113762">
                  <w:pPr>
                    <w:keepNext w:val="0"/>
                    <w:keepLines w:val="0"/>
                    <w:suppressLineNumbers w:val="0"/>
                    <w:spacing w:before="0" w:beforeAutospacing="0" w:after="0" w:afterAutospacing="0" w:line="300" w:lineRule="exact"/>
                    <w:ind w:left="-92" w:leftChars="-44" w:right="-92" w:rightChars="-44"/>
                    <w:jc w:val="center"/>
                    <w:rPr>
                      <w:rFonts w:hint="default"/>
                      <w:b/>
                      <w:bCs/>
                      <w:color w:val="auto"/>
                      <w:spacing w:val="-1"/>
                      <w:sz w:val="15"/>
                      <w:szCs w:val="15"/>
                    </w:rPr>
                  </w:pPr>
                  <w:r>
                    <w:rPr>
                      <w:rFonts w:hint="default"/>
                      <w:b/>
                      <w:bCs/>
                      <w:color w:val="auto"/>
                      <w:spacing w:val="-1"/>
                      <w:sz w:val="15"/>
                      <w:szCs w:val="15"/>
                    </w:rPr>
                    <w:t>环境管控单元名称</w:t>
                  </w:r>
                </w:p>
              </w:tc>
              <w:tc>
                <w:tcPr>
                  <w:tcW w:w="731" w:type="dxa"/>
                  <w:vAlign w:val="center"/>
                </w:tcPr>
                <w:p w14:paraId="7D71B3D4">
                  <w:pPr>
                    <w:keepNext w:val="0"/>
                    <w:keepLines w:val="0"/>
                    <w:suppressLineNumbers w:val="0"/>
                    <w:spacing w:before="0" w:beforeAutospacing="0" w:after="0" w:afterAutospacing="0" w:line="300" w:lineRule="exact"/>
                    <w:ind w:left="-92" w:leftChars="-44" w:right="-92" w:rightChars="-44"/>
                    <w:jc w:val="center"/>
                    <w:rPr>
                      <w:rFonts w:hint="default"/>
                      <w:b/>
                      <w:bCs/>
                      <w:color w:val="auto"/>
                      <w:spacing w:val="-1"/>
                      <w:sz w:val="15"/>
                      <w:szCs w:val="15"/>
                    </w:rPr>
                  </w:pPr>
                  <w:r>
                    <w:rPr>
                      <w:rFonts w:hint="default"/>
                      <w:b/>
                      <w:bCs/>
                      <w:color w:val="auto"/>
                      <w:spacing w:val="-1"/>
                      <w:sz w:val="15"/>
                      <w:szCs w:val="15"/>
                    </w:rPr>
                    <w:t>所属区县</w:t>
                  </w:r>
                </w:p>
              </w:tc>
              <w:tc>
                <w:tcPr>
                  <w:tcW w:w="1145" w:type="dxa"/>
                  <w:vAlign w:val="center"/>
                </w:tcPr>
                <w:p w14:paraId="0CC3D2F7">
                  <w:pPr>
                    <w:keepNext w:val="0"/>
                    <w:keepLines w:val="0"/>
                    <w:suppressLineNumbers w:val="0"/>
                    <w:spacing w:before="0" w:beforeAutospacing="0" w:after="0" w:afterAutospacing="0" w:line="300" w:lineRule="exact"/>
                    <w:ind w:left="-92" w:leftChars="-44" w:right="-92" w:rightChars="-44"/>
                    <w:jc w:val="center"/>
                    <w:rPr>
                      <w:rFonts w:hint="default"/>
                      <w:b/>
                      <w:bCs/>
                      <w:color w:val="auto"/>
                      <w:spacing w:val="-1"/>
                      <w:sz w:val="15"/>
                      <w:szCs w:val="15"/>
                    </w:rPr>
                  </w:pPr>
                  <w:r>
                    <w:rPr>
                      <w:rFonts w:hint="default"/>
                      <w:b/>
                      <w:bCs/>
                      <w:color w:val="auto"/>
                      <w:spacing w:val="-1"/>
                      <w:sz w:val="15"/>
                      <w:szCs w:val="15"/>
                    </w:rPr>
                    <w:t>准入清单类型</w:t>
                  </w:r>
                </w:p>
              </w:tc>
              <w:tc>
                <w:tcPr>
                  <w:tcW w:w="1689" w:type="dxa"/>
                  <w:vAlign w:val="center"/>
                </w:tcPr>
                <w:p w14:paraId="5DFF078E">
                  <w:pPr>
                    <w:keepNext w:val="0"/>
                    <w:keepLines w:val="0"/>
                    <w:suppressLineNumbers w:val="0"/>
                    <w:spacing w:before="0" w:beforeAutospacing="0" w:after="0" w:afterAutospacing="0" w:line="300" w:lineRule="exact"/>
                    <w:ind w:left="-92" w:leftChars="-44" w:right="-92" w:rightChars="-44"/>
                    <w:jc w:val="center"/>
                    <w:rPr>
                      <w:rFonts w:hint="default"/>
                      <w:b/>
                      <w:bCs/>
                      <w:color w:val="auto"/>
                      <w:spacing w:val="-1"/>
                      <w:sz w:val="15"/>
                      <w:szCs w:val="15"/>
                    </w:rPr>
                  </w:pPr>
                  <w:r>
                    <w:rPr>
                      <w:rFonts w:hint="default"/>
                      <w:b/>
                      <w:bCs/>
                      <w:color w:val="auto"/>
                      <w:spacing w:val="-1"/>
                      <w:sz w:val="15"/>
                      <w:szCs w:val="15"/>
                    </w:rPr>
                    <w:t>管控类型</w:t>
                  </w:r>
                </w:p>
              </w:tc>
            </w:tr>
            <w:tr w14:paraId="33A13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blHeader/>
              </w:trPr>
              <w:tc>
                <w:tcPr>
                  <w:tcW w:w="1447" w:type="dxa"/>
                  <w:vAlign w:val="center"/>
                </w:tcPr>
                <w:p w14:paraId="0AA3B409">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ZH51170220001</w:t>
                  </w:r>
                </w:p>
              </w:tc>
              <w:tc>
                <w:tcPr>
                  <w:tcW w:w="1386" w:type="dxa"/>
                  <w:vAlign w:val="center"/>
                </w:tcPr>
                <w:p w14:paraId="0A823D70">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通川区中心城区</w:t>
                  </w:r>
                </w:p>
              </w:tc>
              <w:tc>
                <w:tcPr>
                  <w:tcW w:w="731" w:type="dxa"/>
                </w:tcPr>
                <w:p w14:paraId="6E6715A7">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通川区</w:t>
                  </w:r>
                </w:p>
              </w:tc>
              <w:tc>
                <w:tcPr>
                  <w:tcW w:w="1145" w:type="dxa"/>
                  <w:vAlign w:val="center"/>
                </w:tcPr>
                <w:p w14:paraId="324B08E9">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环境管控单元</w:t>
                  </w:r>
                </w:p>
              </w:tc>
              <w:tc>
                <w:tcPr>
                  <w:tcW w:w="1689" w:type="dxa"/>
                  <w:vAlign w:val="center"/>
                </w:tcPr>
                <w:p w14:paraId="4C232408">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环境综合管控单元城镇重点管控单元</w:t>
                  </w:r>
                </w:p>
              </w:tc>
            </w:tr>
            <w:tr w14:paraId="0392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 w:hRule="atLeast"/>
                <w:tblHeader/>
              </w:trPr>
              <w:tc>
                <w:tcPr>
                  <w:tcW w:w="1447" w:type="dxa"/>
                  <w:vAlign w:val="center"/>
                </w:tcPr>
                <w:p w14:paraId="740DA89B">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YS5117022220001</w:t>
                  </w:r>
                </w:p>
              </w:tc>
              <w:tc>
                <w:tcPr>
                  <w:tcW w:w="1386" w:type="dxa"/>
                  <w:vAlign w:val="center"/>
                </w:tcPr>
                <w:p w14:paraId="0AFB867E">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州河通川区车家河控制单元</w:t>
                  </w:r>
                </w:p>
              </w:tc>
              <w:tc>
                <w:tcPr>
                  <w:tcW w:w="731" w:type="dxa"/>
                </w:tcPr>
                <w:p w14:paraId="5C84E489">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通川区</w:t>
                  </w:r>
                </w:p>
              </w:tc>
              <w:tc>
                <w:tcPr>
                  <w:tcW w:w="1145" w:type="dxa"/>
                  <w:vAlign w:val="center"/>
                </w:tcPr>
                <w:p w14:paraId="4C3FACD6">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水环境管控分区</w:t>
                  </w:r>
                </w:p>
              </w:tc>
              <w:tc>
                <w:tcPr>
                  <w:tcW w:w="1689" w:type="dxa"/>
                  <w:vAlign w:val="center"/>
                </w:tcPr>
                <w:p w14:paraId="5BCA7945">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水环境城镇生活污染重点管控区</w:t>
                  </w:r>
                </w:p>
              </w:tc>
            </w:tr>
            <w:tr w14:paraId="5B1A0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1447" w:type="dxa"/>
                  <w:vAlign w:val="center"/>
                </w:tcPr>
                <w:p w14:paraId="6FA6B36A">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YS5117022340005</w:t>
                  </w:r>
                </w:p>
              </w:tc>
              <w:tc>
                <w:tcPr>
                  <w:tcW w:w="1386" w:type="dxa"/>
                  <w:vAlign w:val="center"/>
                </w:tcPr>
                <w:p w14:paraId="35CE7DA4">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通川区中心城区</w:t>
                  </w:r>
                </w:p>
              </w:tc>
              <w:tc>
                <w:tcPr>
                  <w:tcW w:w="731" w:type="dxa"/>
                </w:tcPr>
                <w:p w14:paraId="080DBADB">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通川区</w:t>
                  </w:r>
                </w:p>
              </w:tc>
              <w:tc>
                <w:tcPr>
                  <w:tcW w:w="1145" w:type="dxa"/>
                  <w:vAlign w:val="center"/>
                </w:tcPr>
                <w:p w14:paraId="2F61CAE9">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大气环境管控分区</w:t>
                  </w:r>
                </w:p>
              </w:tc>
              <w:tc>
                <w:tcPr>
                  <w:tcW w:w="1689" w:type="dxa"/>
                  <w:vAlign w:val="center"/>
                </w:tcPr>
                <w:p w14:paraId="66AD0451">
                  <w:pPr>
                    <w:pStyle w:val="44"/>
                    <w:keepNext w:val="0"/>
                    <w:keepLines w:val="0"/>
                    <w:widowControl/>
                    <w:suppressLineNumbers w:val="0"/>
                    <w:spacing w:before="0" w:beforeAutospacing="0" w:after="0" w:afterAutospacing="0" w:line="300" w:lineRule="exact"/>
                    <w:ind w:left="0" w:right="0" w:firstLine="0" w:firstLineChars="0"/>
                    <w:jc w:val="left"/>
                    <w:rPr>
                      <w:rStyle w:val="45"/>
                      <w:rFonts w:ascii="宋体" w:hAnsi="宋体" w:eastAsia="宋体" w:cs="Times New Roman"/>
                      <w:color w:val="auto"/>
                      <w:sz w:val="15"/>
                      <w:szCs w:val="15"/>
                    </w:rPr>
                  </w:pPr>
                  <w:r>
                    <w:rPr>
                      <w:rStyle w:val="45"/>
                      <w:rFonts w:hint="eastAsia" w:ascii="宋体" w:hAnsi="宋体" w:eastAsia="宋体" w:cs="Times New Roman"/>
                      <w:color w:val="auto"/>
                      <w:sz w:val="15"/>
                      <w:szCs w:val="15"/>
                    </w:rPr>
                    <w:t>大气环境受体敏感重点管控区</w:t>
                  </w:r>
                </w:p>
              </w:tc>
            </w:tr>
          </w:tbl>
          <w:p w14:paraId="45A53DDD">
            <w:pPr>
              <w:keepNext w:val="0"/>
              <w:keepLines w:val="0"/>
              <w:suppressLineNumbers w:val="0"/>
              <w:autoSpaceDE w:val="0"/>
              <w:autoSpaceDN w:val="0"/>
              <w:adjustRightInd w:val="0"/>
              <w:snapToGrid w:val="0"/>
              <w:spacing w:before="0" w:beforeAutospacing="0" w:after="0" w:afterAutospacing="0" w:line="400" w:lineRule="exact"/>
              <w:ind w:left="-31" w:leftChars="-15" w:right="-31" w:rightChars="-15" w:firstLine="420" w:firstLineChars="200"/>
              <w:rPr>
                <w:rFonts w:hint="default"/>
                <w:color w:val="auto"/>
                <w:szCs w:val="21"/>
              </w:rPr>
            </w:pPr>
            <w:r>
              <w:rPr>
                <w:rFonts w:hint="default"/>
                <w:color w:val="auto"/>
                <w:szCs w:val="21"/>
              </w:rPr>
              <w:t>项目与环境综合管控单元位置关系图如下：</w:t>
            </w:r>
          </w:p>
          <w:p w14:paraId="468AD69F">
            <w:pPr>
              <w:keepNext w:val="0"/>
              <w:keepLines w:val="0"/>
              <w:suppressLineNumbers w:val="0"/>
              <w:spacing w:before="0" w:beforeAutospacing="0" w:after="0" w:afterAutospacing="0"/>
              <w:ind w:left="0" w:right="0"/>
              <w:jc w:val="center"/>
              <w:rPr>
                <w:rFonts w:hint="default"/>
                <w:color w:val="auto"/>
              </w:rPr>
            </w:pPr>
            <w:r>
              <w:rPr>
                <w:rFonts w:hint="default"/>
                <w:color w:val="auto"/>
                <w:sz w:val="28"/>
              </w:rPr>
              <mc:AlternateContent>
                <mc:Choice Requires="wps">
                  <w:drawing>
                    <wp:anchor distT="0" distB="0" distL="114300" distR="114300" simplePos="0" relativeHeight="251699200" behindDoc="0" locked="0" layoutInCell="1" allowOverlap="1">
                      <wp:simplePos x="0" y="0"/>
                      <wp:positionH relativeFrom="column">
                        <wp:posOffset>2560955</wp:posOffset>
                      </wp:positionH>
                      <wp:positionV relativeFrom="paragraph">
                        <wp:posOffset>1023620</wp:posOffset>
                      </wp:positionV>
                      <wp:extent cx="973455" cy="242570"/>
                      <wp:effectExtent l="0" t="0" r="0" b="0"/>
                      <wp:wrapNone/>
                      <wp:docPr id="127" name="文本框 127"/>
                      <wp:cNvGraphicFramePr/>
                      <a:graphic xmlns:a="http://schemas.openxmlformats.org/drawingml/2006/main">
                        <a:graphicData uri="http://schemas.microsoft.com/office/word/2010/wordprocessingShape">
                          <wps:wsp>
                            <wps:cNvSpPr txBox="1"/>
                            <wps:spPr>
                              <a:xfrm>
                                <a:off x="5227320" y="3757295"/>
                                <a:ext cx="973455" cy="242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297B81">
                                  <w:pPr>
                                    <w:rPr>
                                      <w:b/>
                                      <w:bCs/>
                                      <w:color w:val="252FF3"/>
                                    </w:rPr>
                                  </w:pPr>
                                  <w:r>
                                    <w:rPr>
                                      <w:rFonts w:hint="eastAsia"/>
                                      <w:b/>
                                      <w:bCs/>
                                      <w:color w:val="252FF3"/>
                                    </w:rPr>
                                    <w:t>项目区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65pt;margin-top:80.6pt;height:19.1pt;width:76.65pt;z-index:251699200;mso-width-relative:page;mso-height-relative:page;" filled="f" stroked="f" coordsize="21600,21600" o:gfxdata="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4/+yW3AAAAAsBAAAPAAAA&#10;AAAAAAEAIAAAACIAAABkcnMvZG93bnJldi54bWxQSwECFAAUAAAACACHTuJAMD/vVEoCAAB1BAAA&#10;DgAAAAAAAAABACAAAAArAQAAZHJzL2Uyb0RvYy54bWxQSwUGAAAAAAYABgBZAQAA5wUAAAAA&#10;">
                      <v:fill on="f" focussize="0,0"/>
                      <v:stroke on="f" weight="0.5pt"/>
                      <v:imagedata o:title=""/>
                      <o:lock v:ext="edit" aspectratio="f"/>
                      <v:textbox>
                        <w:txbxContent>
                          <w:p w14:paraId="79297B81">
                            <w:pPr>
                              <w:rPr>
                                <w:b/>
                                <w:bCs/>
                                <w:color w:val="252FF3"/>
                              </w:rPr>
                            </w:pPr>
                            <w:r>
                              <w:rPr>
                                <w:rFonts w:hint="eastAsia"/>
                                <w:b/>
                                <w:bCs/>
                                <w:color w:val="252FF3"/>
                              </w:rPr>
                              <w:t>项目区</w:t>
                            </w:r>
                          </w:p>
                        </w:txbxContent>
                      </v:textbox>
                    </v:shape>
                  </w:pict>
                </mc:Fallback>
              </mc:AlternateContent>
            </w:r>
            <w:r>
              <w:rPr>
                <w:rFonts w:hint="default"/>
                <w:color w:val="auto"/>
                <w:sz w:val="28"/>
              </w:rPr>
              <mc:AlternateContent>
                <mc:Choice Requires="wps">
                  <w:drawing>
                    <wp:anchor distT="0" distB="0" distL="114300" distR="114300" simplePos="0" relativeHeight="251698176" behindDoc="0" locked="0" layoutInCell="1" allowOverlap="1">
                      <wp:simplePos x="0" y="0"/>
                      <wp:positionH relativeFrom="column">
                        <wp:posOffset>2544445</wp:posOffset>
                      </wp:positionH>
                      <wp:positionV relativeFrom="paragraph">
                        <wp:posOffset>1240155</wp:posOffset>
                      </wp:positionV>
                      <wp:extent cx="715010" cy="635"/>
                      <wp:effectExtent l="0" t="0" r="0" b="0"/>
                      <wp:wrapNone/>
                      <wp:docPr id="94" name="直接连接符 94"/>
                      <wp:cNvGraphicFramePr/>
                      <a:graphic xmlns:a="http://schemas.openxmlformats.org/drawingml/2006/main">
                        <a:graphicData uri="http://schemas.microsoft.com/office/word/2010/wordprocessingShape">
                          <wps:wsp>
                            <wps:cNvCnPr/>
                            <wps:spPr>
                              <a:xfrm>
                                <a:off x="0" y="0"/>
                                <a:ext cx="715010" cy="635"/>
                              </a:xfrm>
                              <a:prstGeom prst="line">
                                <a:avLst/>
                              </a:prstGeom>
                              <a:ln>
                                <a:solidFill>
                                  <a:srgbClr val="252FF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0.35pt;margin-top:97.65pt;height:0.05pt;width:56.3pt;z-index:251698176;mso-width-relative:page;mso-height-relative:page;" filled="f" stroked="t" coordsize="21600,21600" o:gfxdata="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jid0X2QAAAAsBAAAPAAAA&#10;AAAAAAEAIAAAACIAAABkcnMvZG93bnJldi54bWxQSwECFAAUAAAACACHTuJAIB5eENsBAACdAwAA&#10;DgAAAAAAAAABACAAAAAoAQAAZHJzL2Uyb0RvYy54bWxQSwUGAAAAAAYABgBZAQAAdQUAAAAA&#10;">
                      <v:fill on="f" focussize="0,0"/>
                      <v:stroke color="#252FF3 [3204]" joinstyle="round"/>
                      <v:imagedata o:title=""/>
                      <o:lock v:ext="edit" aspectratio="f"/>
                    </v:line>
                  </w:pict>
                </mc:Fallback>
              </mc:AlternateContent>
            </w:r>
            <w:r>
              <w:rPr>
                <w:rFonts w:hint="default"/>
                <w:color w:val="auto"/>
                <w:sz w:val="28"/>
              </w:rPr>
              <mc:AlternateContent>
                <mc:Choice Requires="wps">
                  <w:drawing>
                    <wp:anchor distT="0" distB="0" distL="114300" distR="114300" simplePos="0" relativeHeight="251697152" behindDoc="0" locked="0" layoutInCell="1" allowOverlap="1">
                      <wp:simplePos x="0" y="0"/>
                      <wp:positionH relativeFrom="column">
                        <wp:posOffset>2359660</wp:posOffset>
                      </wp:positionH>
                      <wp:positionV relativeFrom="paragraph">
                        <wp:posOffset>822325</wp:posOffset>
                      </wp:positionV>
                      <wp:extent cx="180340" cy="418465"/>
                      <wp:effectExtent l="4445" t="1905" r="5715" b="17780"/>
                      <wp:wrapNone/>
                      <wp:docPr id="93" name="直接连接符 93"/>
                      <wp:cNvGraphicFramePr/>
                      <a:graphic xmlns:a="http://schemas.openxmlformats.org/drawingml/2006/main">
                        <a:graphicData uri="http://schemas.microsoft.com/office/word/2010/wordprocessingShape">
                          <wps:wsp>
                            <wps:cNvCnPr/>
                            <wps:spPr>
                              <a:xfrm>
                                <a:off x="4835525" y="3741420"/>
                                <a:ext cx="180340" cy="418465"/>
                              </a:xfrm>
                              <a:prstGeom prst="line">
                                <a:avLst/>
                              </a:prstGeom>
                              <a:ln>
                                <a:solidFill>
                                  <a:srgbClr val="252FF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5.8pt;margin-top:64.75pt;height:32.95pt;width:14.2pt;z-index:251697152;mso-width-relative:page;mso-height-relative:page;" filled="f" stroked="t" coordsize="21600,21600" o:gfxdata="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QsQrNoAAAALAQAADwAAAAAAAAABACAAAAAiAAAAZHJzL2Rvd25yZXYueG1sUEsBAhQAFAAA&#10;AAgAh07iQBzjkTbtAQAArAMAAA4AAAAAAAAAAQAgAAAAKQEAAGRycy9lMm9Eb2MueG1sUEsFBgAA&#10;AAAGAAYAWQEAAIgFAAAAAA==&#10;">
                      <v:fill on="f" focussize="0,0"/>
                      <v:stroke color="#252FF3 [3204]" joinstyle="round"/>
                      <v:imagedata o:title=""/>
                      <o:lock v:ext="edit" aspectratio="f"/>
                    </v:line>
                  </w:pict>
                </mc:Fallback>
              </mc:AlternateContent>
            </w:r>
            <w:r>
              <w:rPr>
                <w:rFonts w:hint="default" w:ascii="Helvetica" w:hAnsi="Helvetica" w:eastAsia="Helvetica"/>
                <w:color w:val="auto"/>
                <w:sz w:val="28"/>
              </w:rPr>
              <w:drawing>
                <wp:inline distT="0" distB="0" distL="114300" distR="114300">
                  <wp:extent cx="3960495" cy="2377440"/>
                  <wp:effectExtent l="0" t="0" r="1905" b="381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6"/>
                          <a:stretch>
                            <a:fillRect/>
                          </a:stretch>
                        </pic:blipFill>
                        <pic:spPr>
                          <a:xfrm>
                            <a:off x="0" y="0"/>
                            <a:ext cx="3960495" cy="2377440"/>
                          </a:xfrm>
                          <a:prstGeom prst="rect">
                            <a:avLst/>
                          </a:prstGeom>
                          <a:noFill/>
                          <a:ln>
                            <a:noFill/>
                          </a:ln>
                        </pic:spPr>
                      </pic:pic>
                    </a:graphicData>
                  </a:graphic>
                </wp:inline>
              </w:drawing>
            </w:r>
          </w:p>
          <w:p w14:paraId="4C43CA6E">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eastAsia="黑体"/>
                <w:color w:val="auto"/>
                <w:kern w:val="0"/>
                <w:sz w:val="18"/>
                <w:szCs w:val="18"/>
                <w:lang w:val="zh-CN"/>
              </w:rPr>
            </w:pPr>
            <w:r>
              <w:rPr>
                <w:rFonts w:hint="default" w:eastAsia="黑体"/>
                <w:color w:val="auto"/>
                <w:kern w:val="0"/>
                <w:sz w:val="18"/>
                <w:szCs w:val="18"/>
              </w:rPr>
              <w:t>图</w:t>
            </w:r>
            <w:r>
              <w:rPr>
                <w:rFonts w:hint="eastAsia" w:eastAsia="黑体"/>
                <w:color w:val="auto"/>
                <w:kern w:val="0"/>
                <w:sz w:val="18"/>
                <w:szCs w:val="18"/>
              </w:rPr>
              <w:t>1-</w:t>
            </w:r>
            <w:r>
              <w:rPr>
                <w:rFonts w:hint="eastAsia" w:eastAsia="黑体"/>
                <w:color w:val="auto"/>
                <w:kern w:val="0"/>
                <w:sz w:val="18"/>
                <w:szCs w:val="18"/>
                <w:lang w:val="en-US" w:eastAsia="zh-CN"/>
              </w:rPr>
              <w:t xml:space="preserve">2    </w:t>
            </w:r>
            <w:r>
              <w:rPr>
                <w:rFonts w:hint="default" w:eastAsia="黑体"/>
                <w:color w:val="auto"/>
                <w:kern w:val="0"/>
                <w:sz w:val="18"/>
                <w:szCs w:val="18"/>
              </w:rPr>
              <w:t>项目与环境综合管控单元的位置关系图</w:t>
            </w:r>
          </w:p>
          <w:p w14:paraId="3D412228">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default"/>
                <w:color w:val="auto"/>
                <w:szCs w:val="21"/>
                <w:lang w:val="zh-CN"/>
              </w:rPr>
              <w:t>项目所在区域属于城镇重点管控单元。项目区不在饮用水源保护区、自然保护区、风景名胜区、湿地公园、地质公园等各类生态保护红线范围内。</w:t>
            </w:r>
          </w:p>
          <w:p w14:paraId="6BB398E6">
            <w:pPr>
              <w:keepNext w:val="0"/>
              <w:keepLines w:val="0"/>
              <w:suppressLineNumbers w:val="0"/>
              <w:autoSpaceDE w:val="0"/>
              <w:autoSpaceDN w:val="0"/>
              <w:adjustRightInd w:val="0"/>
              <w:snapToGrid w:val="0"/>
              <w:spacing w:before="0" w:beforeAutospacing="0" w:after="0" w:afterAutospacing="0" w:line="390" w:lineRule="exact"/>
              <w:ind w:left="-53" w:leftChars="-25" w:right="-53" w:rightChars="-25" w:firstLine="422" w:firstLineChars="200"/>
              <w:jc w:val="left"/>
              <w:rPr>
                <w:rFonts w:hint="default"/>
                <w:b/>
                <w:bCs/>
                <w:color w:val="auto"/>
                <w:kern w:val="0"/>
                <w:szCs w:val="21"/>
              </w:rPr>
            </w:pPr>
            <w:r>
              <w:rPr>
                <w:rFonts w:hint="eastAsia"/>
                <w:b/>
                <w:bCs/>
                <w:color w:val="auto"/>
                <w:kern w:val="0"/>
                <w:szCs w:val="21"/>
              </w:rPr>
              <w:t>（3）与“川环办函〔2021〕469号”符合性分析</w:t>
            </w:r>
          </w:p>
          <w:p w14:paraId="2C0B5A3E">
            <w:pPr>
              <w:keepNext w:val="0"/>
              <w:keepLines w:val="0"/>
              <w:suppressLineNumbers w:val="0"/>
              <w:autoSpaceDE w:val="0"/>
              <w:autoSpaceDN w:val="0"/>
              <w:adjustRightInd w:val="0"/>
              <w:snapToGrid w:val="0"/>
              <w:spacing w:before="0" w:beforeAutospacing="0" w:after="0" w:afterAutospacing="0" w:line="390" w:lineRule="exact"/>
              <w:ind w:left="-53" w:leftChars="-25" w:right="-53" w:rightChars="-25" w:firstLine="420" w:firstLineChars="200"/>
              <w:jc w:val="left"/>
              <w:rPr>
                <w:rFonts w:hint="default"/>
                <w:color w:val="auto"/>
                <w:kern w:val="0"/>
                <w:szCs w:val="21"/>
              </w:rPr>
            </w:pPr>
            <w:r>
              <w:rPr>
                <w:rFonts w:hint="eastAsia"/>
                <w:color w:val="auto"/>
                <w:kern w:val="0"/>
                <w:szCs w:val="21"/>
                <w:lang w:val="zh-CN"/>
              </w:rPr>
              <w:t>根据四川省生态环境厅办公室《关于印发《产业园区规划环评“三线一单”符合性分析技术要点(试行)》和《项目环评“三线一单”符合性分析技术要点(试行)》的通知》（川环办函〔2021〕469号），本项目属于位于园区外的污染影响类建设项目，“三线一单”分析重点为空间符合性分析和管控要求符合性分析。</w:t>
            </w:r>
            <w:r>
              <w:rPr>
                <w:rFonts w:hint="eastAsia"/>
                <w:color w:val="auto"/>
                <w:kern w:val="0"/>
                <w:szCs w:val="21"/>
              </w:rPr>
              <w:t>分析情况如下：</w:t>
            </w:r>
          </w:p>
          <w:p w14:paraId="7422E626">
            <w:pPr>
              <w:pStyle w:val="2"/>
              <w:keepNext w:val="0"/>
              <w:keepLines w:val="0"/>
              <w:suppressLineNumbers w:val="0"/>
              <w:spacing w:before="0" w:beforeAutospacing="0" w:after="0" w:afterAutospacing="0" w:line="400" w:lineRule="exact"/>
              <w:ind w:left="0" w:leftChars="0" w:right="0" w:firstLine="420" w:firstLineChars="200"/>
              <w:rPr>
                <w:rFonts w:hint="default"/>
                <w:color w:val="auto"/>
              </w:rPr>
            </w:pPr>
          </w:p>
          <w:p w14:paraId="2AD9C2F1">
            <w:pPr>
              <w:pStyle w:val="3"/>
              <w:keepNext w:val="0"/>
              <w:keepLines w:val="0"/>
              <w:suppressLineNumbers w:val="0"/>
              <w:spacing w:before="0" w:beforeAutospacing="0" w:after="0" w:afterAutospacing="0"/>
              <w:ind w:left="0" w:right="0"/>
              <w:rPr>
                <w:rFonts w:hint="default"/>
                <w:color w:val="auto"/>
              </w:rPr>
            </w:pPr>
          </w:p>
          <w:p w14:paraId="3465C466">
            <w:pPr>
              <w:pStyle w:val="4"/>
              <w:keepNext w:val="0"/>
              <w:keepLines w:val="0"/>
              <w:suppressLineNumbers w:val="0"/>
              <w:spacing w:before="0" w:beforeAutospacing="0" w:after="0" w:afterAutospacing="0"/>
              <w:ind w:right="0"/>
              <w:rPr>
                <w:rFonts w:hint="default"/>
                <w:color w:val="auto"/>
              </w:rPr>
            </w:pPr>
          </w:p>
          <w:p w14:paraId="704D0985">
            <w:pPr>
              <w:pStyle w:val="4"/>
              <w:keepNext w:val="0"/>
              <w:keepLines w:val="0"/>
              <w:suppressLineNumbers w:val="0"/>
              <w:spacing w:before="0" w:beforeAutospacing="0" w:after="0" w:afterAutospacing="0" w:line="100" w:lineRule="exact"/>
              <w:ind w:right="0"/>
              <w:rPr>
                <w:rFonts w:hint="default"/>
                <w:color w:val="auto"/>
              </w:rPr>
            </w:pPr>
          </w:p>
          <w:p w14:paraId="1FE5F826">
            <w:pPr>
              <w:pStyle w:val="4"/>
              <w:keepNext w:val="0"/>
              <w:keepLines w:val="0"/>
              <w:suppressLineNumbers w:val="0"/>
              <w:spacing w:before="0" w:beforeAutospacing="0" w:after="0" w:afterAutospacing="0" w:line="100" w:lineRule="exact"/>
              <w:ind w:right="0"/>
              <w:rPr>
                <w:rFonts w:hint="default"/>
                <w:color w:val="auto"/>
              </w:rPr>
            </w:pPr>
          </w:p>
          <w:p w14:paraId="251C936A">
            <w:pPr>
              <w:pStyle w:val="4"/>
              <w:keepNext w:val="0"/>
              <w:keepLines w:val="0"/>
              <w:suppressLineNumbers w:val="0"/>
              <w:spacing w:before="0" w:beforeAutospacing="0" w:after="0" w:afterAutospacing="0" w:line="100" w:lineRule="exact"/>
              <w:ind w:right="0"/>
              <w:rPr>
                <w:rFonts w:hint="default"/>
                <w:color w:val="auto"/>
              </w:rPr>
            </w:pPr>
          </w:p>
          <w:p w14:paraId="6BEF56D1">
            <w:pPr>
              <w:pStyle w:val="4"/>
              <w:keepNext w:val="0"/>
              <w:keepLines w:val="0"/>
              <w:suppressLineNumbers w:val="0"/>
              <w:spacing w:before="0" w:beforeAutospacing="0" w:after="0" w:afterAutospacing="0" w:line="100" w:lineRule="exact"/>
              <w:ind w:right="0"/>
              <w:rPr>
                <w:rFonts w:hint="default"/>
                <w:color w:val="auto"/>
              </w:rPr>
            </w:pPr>
          </w:p>
          <w:p w14:paraId="3AB1EEEC">
            <w:pPr>
              <w:pStyle w:val="4"/>
              <w:keepNext w:val="0"/>
              <w:keepLines w:val="0"/>
              <w:suppressLineNumbers w:val="0"/>
              <w:spacing w:before="0" w:beforeAutospacing="0" w:after="0" w:afterAutospacing="0" w:line="100" w:lineRule="exact"/>
              <w:ind w:right="0"/>
              <w:rPr>
                <w:rFonts w:hint="default"/>
                <w:color w:val="auto"/>
              </w:rPr>
            </w:pPr>
          </w:p>
          <w:p w14:paraId="129AC795">
            <w:pPr>
              <w:pStyle w:val="4"/>
              <w:keepNext w:val="0"/>
              <w:keepLines w:val="0"/>
              <w:suppressLineNumbers w:val="0"/>
              <w:spacing w:before="0" w:beforeAutospacing="0" w:after="0" w:afterAutospacing="0" w:line="100" w:lineRule="exact"/>
              <w:ind w:right="0"/>
              <w:rPr>
                <w:rFonts w:hint="default"/>
                <w:color w:val="auto"/>
              </w:rPr>
            </w:pPr>
          </w:p>
          <w:p w14:paraId="6BF0250B">
            <w:pPr>
              <w:pStyle w:val="4"/>
              <w:keepNext w:val="0"/>
              <w:keepLines w:val="0"/>
              <w:suppressLineNumbers w:val="0"/>
              <w:spacing w:before="0" w:beforeAutospacing="0" w:after="0" w:afterAutospacing="0" w:line="100" w:lineRule="exact"/>
              <w:ind w:right="0"/>
              <w:rPr>
                <w:rFonts w:hint="default"/>
                <w:color w:val="auto"/>
              </w:rPr>
            </w:pPr>
          </w:p>
          <w:p w14:paraId="1797B31E">
            <w:pPr>
              <w:pStyle w:val="4"/>
              <w:keepNext w:val="0"/>
              <w:keepLines w:val="0"/>
              <w:suppressLineNumbers w:val="0"/>
              <w:spacing w:before="0" w:beforeAutospacing="0" w:after="0" w:afterAutospacing="0" w:line="100" w:lineRule="exact"/>
              <w:ind w:right="0"/>
              <w:rPr>
                <w:rFonts w:hint="default"/>
                <w:color w:val="auto"/>
              </w:rPr>
            </w:pPr>
          </w:p>
          <w:p w14:paraId="5988041E">
            <w:pPr>
              <w:pStyle w:val="4"/>
              <w:keepNext w:val="0"/>
              <w:keepLines w:val="0"/>
              <w:suppressLineNumbers w:val="0"/>
              <w:spacing w:before="0" w:beforeAutospacing="0" w:after="0" w:afterAutospacing="0" w:line="100" w:lineRule="exact"/>
              <w:ind w:right="0"/>
              <w:rPr>
                <w:rFonts w:hint="default"/>
                <w:color w:val="auto"/>
              </w:rPr>
            </w:pPr>
          </w:p>
          <w:p w14:paraId="0405EA3F">
            <w:pPr>
              <w:pStyle w:val="4"/>
              <w:keepNext w:val="0"/>
              <w:keepLines w:val="0"/>
              <w:suppressLineNumbers w:val="0"/>
              <w:spacing w:before="0" w:beforeAutospacing="0" w:after="0" w:afterAutospacing="0" w:line="100" w:lineRule="exact"/>
              <w:ind w:right="0"/>
              <w:rPr>
                <w:rFonts w:hint="default"/>
                <w:color w:val="auto"/>
              </w:rPr>
            </w:pPr>
          </w:p>
          <w:p w14:paraId="46926A18">
            <w:pPr>
              <w:pStyle w:val="4"/>
              <w:keepNext w:val="0"/>
              <w:keepLines w:val="0"/>
              <w:suppressLineNumbers w:val="0"/>
              <w:spacing w:before="0" w:beforeAutospacing="0" w:after="0" w:afterAutospacing="0" w:line="100" w:lineRule="exact"/>
              <w:ind w:right="0"/>
              <w:rPr>
                <w:rFonts w:hint="default"/>
                <w:color w:val="auto"/>
              </w:rPr>
            </w:pPr>
          </w:p>
          <w:p w14:paraId="3F3AC4FF">
            <w:pPr>
              <w:pStyle w:val="4"/>
              <w:keepNext w:val="0"/>
              <w:keepLines w:val="0"/>
              <w:suppressLineNumbers w:val="0"/>
              <w:spacing w:before="0" w:beforeAutospacing="0" w:after="0" w:afterAutospacing="0" w:line="100" w:lineRule="exact"/>
              <w:ind w:right="0"/>
              <w:rPr>
                <w:rFonts w:hint="default"/>
                <w:color w:val="auto"/>
              </w:rPr>
            </w:pPr>
          </w:p>
          <w:p w14:paraId="1A916110">
            <w:pPr>
              <w:pStyle w:val="4"/>
              <w:keepNext w:val="0"/>
              <w:keepLines w:val="0"/>
              <w:suppressLineNumbers w:val="0"/>
              <w:spacing w:before="0" w:beforeAutospacing="0" w:after="0" w:afterAutospacing="0" w:line="100" w:lineRule="exact"/>
              <w:ind w:right="0"/>
              <w:rPr>
                <w:rFonts w:hint="default"/>
                <w:color w:val="auto"/>
              </w:rPr>
            </w:pPr>
          </w:p>
          <w:p w14:paraId="5262A484">
            <w:pPr>
              <w:pStyle w:val="4"/>
              <w:keepNext w:val="0"/>
              <w:keepLines w:val="0"/>
              <w:suppressLineNumbers w:val="0"/>
              <w:spacing w:before="0" w:beforeAutospacing="0" w:after="0" w:afterAutospacing="0" w:line="100" w:lineRule="exact"/>
              <w:ind w:right="0"/>
              <w:rPr>
                <w:rFonts w:hint="default"/>
                <w:color w:val="auto"/>
              </w:rPr>
            </w:pPr>
          </w:p>
          <w:p w14:paraId="49CEA72B">
            <w:pPr>
              <w:pStyle w:val="4"/>
              <w:keepNext w:val="0"/>
              <w:keepLines w:val="0"/>
              <w:suppressLineNumbers w:val="0"/>
              <w:spacing w:before="0" w:beforeAutospacing="0" w:after="0" w:afterAutospacing="0" w:line="100" w:lineRule="exact"/>
              <w:ind w:right="0"/>
              <w:rPr>
                <w:rFonts w:hint="default"/>
                <w:color w:val="auto"/>
              </w:rPr>
            </w:pPr>
          </w:p>
          <w:p w14:paraId="56356537">
            <w:pPr>
              <w:pStyle w:val="4"/>
              <w:keepNext w:val="0"/>
              <w:keepLines w:val="0"/>
              <w:suppressLineNumbers w:val="0"/>
              <w:spacing w:before="0" w:beforeAutospacing="0" w:after="0" w:afterAutospacing="0" w:line="100" w:lineRule="exact"/>
              <w:ind w:right="0"/>
              <w:rPr>
                <w:rFonts w:hint="default"/>
                <w:color w:val="auto"/>
              </w:rPr>
            </w:pPr>
          </w:p>
          <w:p w14:paraId="5536A431">
            <w:pPr>
              <w:pStyle w:val="4"/>
              <w:keepNext w:val="0"/>
              <w:keepLines w:val="0"/>
              <w:suppressLineNumbers w:val="0"/>
              <w:spacing w:before="0" w:beforeAutospacing="0" w:after="0" w:afterAutospacing="0" w:line="100" w:lineRule="exact"/>
              <w:ind w:right="0"/>
              <w:rPr>
                <w:rFonts w:hint="default"/>
                <w:color w:val="auto"/>
              </w:rPr>
            </w:pPr>
          </w:p>
        </w:tc>
      </w:tr>
    </w:tbl>
    <w:p w14:paraId="496CDDA9">
      <w:pPr>
        <w:widowControl/>
        <w:spacing w:line="360" w:lineRule="auto"/>
        <w:jc w:val="left"/>
        <w:rPr>
          <w:rFonts w:eastAsia="黑体"/>
          <w:color w:val="auto"/>
          <w:sz w:val="30"/>
        </w:rPr>
        <w:sectPr>
          <w:footerReference r:id="rId3" w:type="default"/>
          <w:pgSz w:w="11906" w:h="16838"/>
          <w:pgMar w:top="1701" w:right="1531" w:bottom="1701" w:left="1531" w:header="851" w:footer="1077" w:gutter="0"/>
          <w:pgNumType w:fmt="numberInDash" w:start="1"/>
          <w:cols w:space="720" w:num="1"/>
        </w:sect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12454"/>
      </w:tblGrid>
      <w:tr w14:paraId="6C39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9" w:hRule="atLeast"/>
        </w:trPr>
        <w:tc>
          <w:tcPr>
            <w:tcW w:w="1093" w:type="dxa"/>
          </w:tcPr>
          <w:p w14:paraId="29C4A504">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AF885AC">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1174E186">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DBE059E">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36DA08A5">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D118A40">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F1094F9">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3B7EA4E7">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4EEF6C32">
            <w:pPr>
              <w:pStyle w:val="4"/>
              <w:keepNext w:val="0"/>
              <w:keepLines w:val="0"/>
              <w:suppressLineNumbers w:val="0"/>
              <w:spacing w:before="0" w:beforeAutospacing="0" w:after="0" w:afterAutospacing="0"/>
              <w:ind w:left="0" w:right="0"/>
              <w:jc w:val="center"/>
              <w:rPr>
                <w:rFonts w:hint="default" w:cs="宋体"/>
                <w:color w:val="auto"/>
                <w:kern w:val="0"/>
                <w:sz w:val="21"/>
                <w:szCs w:val="21"/>
              </w:rPr>
            </w:pPr>
            <w:r>
              <w:rPr>
                <w:rFonts w:hint="eastAsia" w:cs="宋体"/>
                <w:color w:val="auto"/>
                <w:kern w:val="0"/>
                <w:sz w:val="21"/>
                <w:szCs w:val="21"/>
              </w:rPr>
              <w:t>其他符合性分析</w:t>
            </w:r>
          </w:p>
          <w:p w14:paraId="3D10BE73">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11E23CD5">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5491B20">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1AEA3082">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49F2305C">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1FD179E">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719AEA6A">
            <w:pPr>
              <w:pStyle w:val="4"/>
              <w:keepNext w:val="0"/>
              <w:keepLines w:val="0"/>
              <w:suppressLineNumbers w:val="0"/>
              <w:spacing w:before="0" w:beforeAutospacing="0" w:after="0" w:afterAutospacing="0"/>
              <w:ind w:left="0" w:right="0"/>
              <w:jc w:val="center"/>
              <w:rPr>
                <w:rFonts w:hint="default" w:eastAsia="黑体"/>
                <w:color w:val="auto"/>
                <w:sz w:val="30"/>
              </w:rPr>
            </w:pPr>
          </w:p>
          <w:p w14:paraId="635AA796">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B2FB121">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1B93A164">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1BAFACDF">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9181DCE">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409C94D4">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14A9C13C">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3EF3BDFD">
            <w:pPr>
              <w:pStyle w:val="4"/>
              <w:keepNext w:val="0"/>
              <w:keepLines w:val="0"/>
              <w:suppressLineNumbers w:val="0"/>
              <w:spacing w:before="0" w:beforeAutospacing="0" w:after="0" w:afterAutospacing="0"/>
              <w:ind w:left="0" w:right="0"/>
              <w:jc w:val="center"/>
              <w:rPr>
                <w:rFonts w:hint="default" w:cs="宋体"/>
                <w:color w:val="auto"/>
                <w:kern w:val="0"/>
                <w:sz w:val="21"/>
                <w:szCs w:val="21"/>
              </w:rPr>
            </w:pPr>
            <w:r>
              <w:rPr>
                <w:rFonts w:hint="eastAsia" w:cs="宋体"/>
                <w:color w:val="auto"/>
                <w:kern w:val="0"/>
                <w:sz w:val="21"/>
                <w:szCs w:val="21"/>
              </w:rPr>
              <w:t>其他符合性分析</w:t>
            </w:r>
          </w:p>
          <w:p w14:paraId="52AAB466">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2E343C7">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AC6D810">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2C4BE1C">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E838AC8">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3D1B367C">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C98525E">
            <w:pPr>
              <w:pStyle w:val="4"/>
              <w:keepNext w:val="0"/>
              <w:keepLines w:val="0"/>
              <w:suppressLineNumbers w:val="0"/>
              <w:spacing w:before="0" w:beforeAutospacing="0" w:after="0" w:afterAutospacing="0"/>
              <w:ind w:left="0" w:right="0"/>
              <w:jc w:val="center"/>
              <w:rPr>
                <w:rFonts w:hint="default" w:eastAsia="黑体"/>
                <w:color w:val="auto"/>
                <w:sz w:val="30"/>
              </w:rPr>
            </w:pPr>
          </w:p>
          <w:p w14:paraId="62BF0049">
            <w:pPr>
              <w:pStyle w:val="4"/>
              <w:keepNext w:val="0"/>
              <w:keepLines w:val="0"/>
              <w:suppressLineNumbers w:val="0"/>
              <w:spacing w:before="0" w:beforeAutospacing="0" w:after="0" w:afterAutospacing="0"/>
              <w:ind w:left="0" w:right="0"/>
              <w:jc w:val="center"/>
              <w:rPr>
                <w:rFonts w:hint="default" w:eastAsia="黑体"/>
                <w:color w:val="auto"/>
                <w:sz w:val="30"/>
              </w:rPr>
            </w:pPr>
          </w:p>
          <w:p w14:paraId="12B1CA87">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3C35C1E5">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4E83646">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1D4DB02E">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45C2C2A1">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1E8189B0">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A1CE6C3">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75ECA637">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3291A21">
            <w:pPr>
              <w:pStyle w:val="4"/>
              <w:keepNext w:val="0"/>
              <w:keepLines w:val="0"/>
              <w:suppressLineNumbers w:val="0"/>
              <w:spacing w:before="0" w:beforeAutospacing="0" w:after="0" w:afterAutospacing="0"/>
              <w:ind w:left="0" w:right="0"/>
              <w:jc w:val="center"/>
              <w:rPr>
                <w:rFonts w:hint="default" w:cs="宋体"/>
                <w:color w:val="auto"/>
                <w:kern w:val="0"/>
                <w:sz w:val="21"/>
                <w:szCs w:val="21"/>
              </w:rPr>
            </w:pPr>
            <w:r>
              <w:rPr>
                <w:rFonts w:hint="eastAsia" w:cs="宋体"/>
                <w:color w:val="auto"/>
                <w:kern w:val="0"/>
                <w:sz w:val="21"/>
                <w:szCs w:val="21"/>
              </w:rPr>
              <w:t>其他符合性分析</w:t>
            </w:r>
          </w:p>
          <w:p w14:paraId="13AA947A">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8377263">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5E7376B">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542447C">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7E30FE35">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40FBA37E">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3FDFCBF">
            <w:pPr>
              <w:pStyle w:val="4"/>
              <w:keepNext w:val="0"/>
              <w:keepLines w:val="0"/>
              <w:suppressLineNumbers w:val="0"/>
              <w:spacing w:before="0" w:beforeAutospacing="0" w:after="0" w:afterAutospacing="0"/>
              <w:ind w:left="0" w:right="0"/>
              <w:jc w:val="center"/>
              <w:rPr>
                <w:rFonts w:hint="default" w:eastAsia="黑体"/>
                <w:color w:val="auto"/>
                <w:sz w:val="30"/>
              </w:rPr>
            </w:pPr>
          </w:p>
          <w:p w14:paraId="7DB454FB">
            <w:pPr>
              <w:pStyle w:val="4"/>
              <w:keepNext w:val="0"/>
              <w:keepLines w:val="0"/>
              <w:suppressLineNumbers w:val="0"/>
              <w:spacing w:before="0" w:beforeAutospacing="0" w:after="0" w:afterAutospacing="0"/>
              <w:ind w:left="0" w:right="0"/>
              <w:jc w:val="center"/>
              <w:rPr>
                <w:rFonts w:hint="default" w:eastAsia="黑体"/>
                <w:color w:val="auto"/>
                <w:sz w:val="30"/>
              </w:rPr>
            </w:pPr>
          </w:p>
          <w:p w14:paraId="4565425B">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A7A19B2">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39E7C74D">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37CB9E9">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CF576BF">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139440D">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376E8738">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7C59C3EC">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34C0B71B">
            <w:pPr>
              <w:pStyle w:val="4"/>
              <w:keepNext w:val="0"/>
              <w:keepLines w:val="0"/>
              <w:suppressLineNumbers w:val="0"/>
              <w:spacing w:before="0" w:beforeAutospacing="0" w:after="0" w:afterAutospacing="0"/>
              <w:ind w:left="0" w:right="0"/>
              <w:jc w:val="center"/>
              <w:rPr>
                <w:rFonts w:hint="default" w:cs="宋体"/>
                <w:color w:val="auto"/>
                <w:kern w:val="0"/>
                <w:sz w:val="21"/>
                <w:szCs w:val="21"/>
              </w:rPr>
            </w:pPr>
            <w:r>
              <w:rPr>
                <w:rFonts w:hint="eastAsia" w:cs="宋体"/>
                <w:color w:val="auto"/>
                <w:kern w:val="0"/>
                <w:sz w:val="21"/>
                <w:szCs w:val="21"/>
              </w:rPr>
              <w:t>其他符合性分析</w:t>
            </w:r>
          </w:p>
          <w:p w14:paraId="652DF0EC">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4D4732A4">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C7434E5">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167927B1">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AE0F65F">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E74113B">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7EEB2EBE">
            <w:pPr>
              <w:pStyle w:val="4"/>
              <w:keepNext w:val="0"/>
              <w:keepLines w:val="0"/>
              <w:suppressLineNumbers w:val="0"/>
              <w:spacing w:before="0" w:beforeAutospacing="0" w:after="0" w:afterAutospacing="0"/>
              <w:ind w:left="0" w:right="0"/>
              <w:jc w:val="center"/>
              <w:rPr>
                <w:rFonts w:hint="default" w:eastAsia="黑体"/>
                <w:color w:val="auto"/>
                <w:sz w:val="30"/>
              </w:rPr>
            </w:pPr>
          </w:p>
          <w:p w14:paraId="124E758E">
            <w:pPr>
              <w:pStyle w:val="4"/>
              <w:keepNext w:val="0"/>
              <w:keepLines w:val="0"/>
              <w:suppressLineNumbers w:val="0"/>
              <w:spacing w:before="0" w:beforeAutospacing="0" w:after="0" w:afterAutospacing="0"/>
              <w:ind w:left="0" w:right="0"/>
              <w:jc w:val="center"/>
              <w:rPr>
                <w:rFonts w:hint="default" w:eastAsia="黑体"/>
                <w:color w:val="auto"/>
                <w:sz w:val="30"/>
              </w:rPr>
            </w:pPr>
          </w:p>
          <w:p w14:paraId="15351999">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AEF29FD">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6C65C47">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34361AF">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2E3B935">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1C386980">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A166187">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926C73B">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392D70FD">
            <w:pPr>
              <w:pStyle w:val="4"/>
              <w:keepNext w:val="0"/>
              <w:keepLines w:val="0"/>
              <w:suppressLineNumbers w:val="0"/>
              <w:spacing w:before="0" w:beforeAutospacing="0" w:after="0" w:afterAutospacing="0"/>
              <w:ind w:left="0" w:right="0"/>
              <w:jc w:val="center"/>
              <w:rPr>
                <w:rFonts w:hint="default" w:cs="宋体"/>
                <w:color w:val="auto"/>
                <w:kern w:val="0"/>
                <w:sz w:val="21"/>
                <w:szCs w:val="21"/>
              </w:rPr>
            </w:pPr>
            <w:r>
              <w:rPr>
                <w:rFonts w:hint="eastAsia" w:cs="宋体"/>
                <w:color w:val="auto"/>
                <w:kern w:val="0"/>
                <w:sz w:val="21"/>
                <w:szCs w:val="21"/>
              </w:rPr>
              <w:t>其他符合性分析</w:t>
            </w:r>
          </w:p>
          <w:p w14:paraId="59A84B03">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4957188F">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9ECE972">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70FB174">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16A66E58">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1A08BFDE">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1739735">
            <w:pPr>
              <w:pStyle w:val="4"/>
              <w:keepNext w:val="0"/>
              <w:keepLines w:val="0"/>
              <w:suppressLineNumbers w:val="0"/>
              <w:spacing w:before="0" w:beforeAutospacing="0" w:after="0" w:afterAutospacing="0"/>
              <w:ind w:left="0" w:right="0"/>
              <w:jc w:val="center"/>
              <w:rPr>
                <w:rFonts w:hint="default" w:eastAsia="黑体"/>
                <w:color w:val="auto"/>
                <w:sz w:val="30"/>
              </w:rPr>
            </w:pPr>
          </w:p>
          <w:p w14:paraId="189F9B1D">
            <w:pPr>
              <w:pStyle w:val="4"/>
              <w:keepNext w:val="0"/>
              <w:keepLines w:val="0"/>
              <w:suppressLineNumbers w:val="0"/>
              <w:spacing w:before="0" w:beforeAutospacing="0" w:after="0" w:afterAutospacing="0"/>
              <w:ind w:left="0" w:right="0"/>
              <w:jc w:val="center"/>
              <w:rPr>
                <w:rFonts w:hint="default" w:eastAsia="黑体"/>
                <w:color w:val="auto"/>
                <w:sz w:val="30"/>
              </w:rPr>
            </w:pPr>
          </w:p>
          <w:p w14:paraId="7379CCBB">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2C48AC1">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306E8F0E">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A2DF9B7">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780196D9">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FE3CAE8">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CA5C88A">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596923C">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1FCDFB1C">
            <w:pPr>
              <w:pStyle w:val="4"/>
              <w:keepNext w:val="0"/>
              <w:keepLines w:val="0"/>
              <w:suppressLineNumbers w:val="0"/>
              <w:spacing w:before="0" w:beforeAutospacing="0" w:after="0" w:afterAutospacing="0"/>
              <w:ind w:left="0" w:right="0"/>
              <w:jc w:val="center"/>
              <w:rPr>
                <w:rFonts w:hint="default" w:cs="宋体"/>
                <w:color w:val="auto"/>
                <w:kern w:val="0"/>
                <w:sz w:val="21"/>
                <w:szCs w:val="21"/>
              </w:rPr>
            </w:pPr>
            <w:r>
              <w:rPr>
                <w:rFonts w:hint="eastAsia" w:cs="宋体"/>
                <w:color w:val="auto"/>
                <w:kern w:val="0"/>
                <w:sz w:val="21"/>
                <w:szCs w:val="21"/>
              </w:rPr>
              <w:t>其他符合性分析</w:t>
            </w:r>
          </w:p>
          <w:p w14:paraId="6E45E427">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4B67576B">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AB99DF1">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4E7FF26A">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30DC5AEC">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356DA868">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02CDEBA">
            <w:pPr>
              <w:pStyle w:val="4"/>
              <w:keepNext w:val="0"/>
              <w:keepLines w:val="0"/>
              <w:suppressLineNumbers w:val="0"/>
              <w:spacing w:before="0" w:beforeAutospacing="0" w:after="0" w:afterAutospacing="0"/>
              <w:ind w:left="0" w:right="0"/>
              <w:jc w:val="center"/>
              <w:rPr>
                <w:rFonts w:hint="default" w:eastAsia="黑体"/>
                <w:color w:val="auto"/>
                <w:sz w:val="30"/>
              </w:rPr>
            </w:pPr>
          </w:p>
        </w:tc>
        <w:tc>
          <w:tcPr>
            <w:tcW w:w="12454" w:type="dxa"/>
          </w:tcPr>
          <w:p w14:paraId="0556015C">
            <w:pPr>
              <w:keepNext w:val="0"/>
              <w:keepLines w:val="0"/>
              <w:suppressLineNumbers w:val="0"/>
              <w:spacing w:before="0" w:beforeAutospacing="0" w:after="0" w:afterAutospacing="0" w:line="400" w:lineRule="exact"/>
              <w:ind w:left="0" w:right="0"/>
              <w:jc w:val="center"/>
              <w:rPr>
                <w:rFonts w:hint="default"/>
                <w:color w:val="auto"/>
              </w:rPr>
            </w:pPr>
            <w:r>
              <w:rPr>
                <w:rFonts w:hint="default" w:ascii="黑体" w:hAnsi="黑体" w:eastAsia="黑体"/>
                <w:color w:val="auto"/>
                <w:sz w:val="15"/>
                <w:szCs w:val="15"/>
              </w:rPr>
              <w:t>表</w:t>
            </w:r>
            <w:r>
              <w:rPr>
                <w:rFonts w:hint="default" w:eastAsia="黑体"/>
                <w:color w:val="auto"/>
                <w:sz w:val="15"/>
                <w:szCs w:val="15"/>
              </w:rPr>
              <w:t>1</w:t>
            </w:r>
            <w:r>
              <w:rPr>
                <w:rFonts w:hint="eastAsia" w:eastAsia="黑体"/>
                <w:color w:val="auto"/>
                <w:sz w:val="15"/>
                <w:szCs w:val="15"/>
              </w:rPr>
              <w:t>-2</w:t>
            </w:r>
            <w:r>
              <w:rPr>
                <w:rFonts w:hint="default" w:eastAsia="黑体"/>
                <w:color w:val="auto"/>
                <w:sz w:val="15"/>
                <w:szCs w:val="15"/>
              </w:rPr>
              <w:t xml:space="preserve">   </w:t>
            </w:r>
            <w:r>
              <w:rPr>
                <w:rFonts w:hint="default" w:ascii="黑体" w:hAnsi="黑体" w:eastAsia="黑体"/>
                <w:color w:val="auto"/>
                <w:sz w:val="15"/>
                <w:szCs w:val="15"/>
              </w:rPr>
              <w:t>项目与生态环境准入清单的符合性分析表</w:t>
            </w:r>
          </w:p>
          <w:tbl>
            <w:tblPr>
              <w:tblStyle w:val="13"/>
              <w:tblW w:w="120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69"/>
              <w:gridCol w:w="821"/>
              <w:gridCol w:w="1225"/>
              <w:gridCol w:w="6815"/>
              <w:gridCol w:w="1415"/>
              <w:gridCol w:w="629"/>
            </w:tblGrid>
            <w:tr w14:paraId="791B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 w:hRule="atLeast"/>
                <w:jc w:val="center"/>
              </w:trPr>
              <w:tc>
                <w:tcPr>
                  <w:tcW w:w="10030" w:type="dxa"/>
                  <w:gridSpan w:val="4"/>
                  <w:tcBorders>
                    <w:top w:val="single" w:color="auto" w:sz="4" w:space="0"/>
                    <w:left w:val="single" w:color="auto" w:sz="4" w:space="0"/>
                    <w:bottom w:val="single" w:color="auto" w:sz="4" w:space="0"/>
                    <w:right w:val="single" w:color="auto" w:sz="4" w:space="0"/>
                  </w:tcBorders>
                  <w:vAlign w:val="center"/>
                </w:tcPr>
                <w:p w14:paraId="79AEB807">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“三线一单”的具体要求</w:t>
                  </w:r>
                </w:p>
              </w:tc>
              <w:tc>
                <w:tcPr>
                  <w:tcW w:w="1415" w:type="dxa"/>
                  <w:vMerge w:val="restart"/>
                  <w:tcBorders>
                    <w:top w:val="single" w:color="auto" w:sz="4" w:space="0"/>
                    <w:left w:val="single" w:color="auto" w:sz="4" w:space="0"/>
                    <w:bottom w:val="single" w:color="auto" w:sz="4" w:space="0"/>
                    <w:right w:val="single" w:color="auto" w:sz="4" w:space="0"/>
                  </w:tcBorders>
                  <w:vAlign w:val="center"/>
                </w:tcPr>
                <w:p w14:paraId="786EF2D4">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default" w:asciiTheme="minorEastAsia" w:hAnsiTheme="minorEastAsia" w:eastAsiaTheme="minorEastAsia"/>
                      <w:b/>
                      <w:bCs/>
                      <w:color w:val="auto"/>
                      <w:sz w:val="15"/>
                      <w:szCs w:val="15"/>
                    </w:rPr>
                    <w:t>本项目情况</w:t>
                  </w:r>
                </w:p>
              </w:tc>
              <w:tc>
                <w:tcPr>
                  <w:tcW w:w="629" w:type="dxa"/>
                  <w:vMerge w:val="restart"/>
                  <w:tcBorders>
                    <w:top w:val="single" w:color="auto" w:sz="4" w:space="0"/>
                    <w:left w:val="single" w:color="auto" w:sz="4" w:space="0"/>
                    <w:bottom w:val="single" w:color="auto" w:sz="4" w:space="0"/>
                    <w:right w:val="single" w:color="auto" w:sz="4" w:space="0"/>
                  </w:tcBorders>
                  <w:vAlign w:val="center"/>
                </w:tcPr>
                <w:p w14:paraId="7EBD70DE">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default" w:asciiTheme="minorEastAsia" w:hAnsiTheme="minorEastAsia" w:eastAsiaTheme="minorEastAsia"/>
                      <w:b/>
                      <w:bCs/>
                      <w:color w:val="auto"/>
                      <w:sz w:val="15"/>
                      <w:szCs w:val="15"/>
                    </w:rPr>
                    <w:t>符合性</w:t>
                  </w:r>
                </w:p>
              </w:tc>
            </w:tr>
            <w:tr w14:paraId="7411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 w:hRule="atLeast"/>
                <w:jc w:val="center"/>
              </w:trPr>
              <w:tc>
                <w:tcPr>
                  <w:tcW w:w="3215" w:type="dxa"/>
                  <w:gridSpan w:val="3"/>
                  <w:tcBorders>
                    <w:top w:val="single" w:color="auto" w:sz="4" w:space="0"/>
                    <w:left w:val="single" w:color="auto" w:sz="4" w:space="0"/>
                    <w:bottom w:val="single" w:color="auto" w:sz="4" w:space="0"/>
                    <w:right w:val="single" w:color="auto" w:sz="4" w:space="0"/>
                  </w:tcBorders>
                  <w:vAlign w:val="center"/>
                </w:tcPr>
                <w:p w14:paraId="5CEAAA45">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类别</w:t>
                  </w:r>
                </w:p>
              </w:tc>
              <w:tc>
                <w:tcPr>
                  <w:tcW w:w="6815" w:type="dxa"/>
                  <w:tcBorders>
                    <w:top w:val="single" w:color="auto" w:sz="4" w:space="0"/>
                    <w:left w:val="single" w:color="auto" w:sz="4" w:space="0"/>
                    <w:bottom w:val="single" w:color="auto" w:sz="4" w:space="0"/>
                    <w:right w:val="single" w:color="auto" w:sz="4" w:space="0"/>
                  </w:tcBorders>
                  <w:vAlign w:val="center"/>
                </w:tcPr>
                <w:p w14:paraId="73ED6E28">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对应</w:t>
                  </w:r>
                  <w:r>
                    <w:rPr>
                      <w:rFonts w:hint="default" w:asciiTheme="minorEastAsia" w:hAnsiTheme="minorEastAsia" w:eastAsiaTheme="minorEastAsia"/>
                      <w:b/>
                      <w:bCs/>
                      <w:color w:val="auto"/>
                      <w:sz w:val="15"/>
                      <w:szCs w:val="15"/>
                    </w:rPr>
                    <w:t>管控要求</w:t>
                  </w:r>
                </w:p>
              </w:tc>
              <w:tc>
                <w:tcPr>
                  <w:tcW w:w="1415" w:type="dxa"/>
                  <w:vMerge w:val="continue"/>
                  <w:tcBorders>
                    <w:top w:val="single" w:color="auto" w:sz="4" w:space="0"/>
                    <w:left w:val="single" w:color="auto" w:sz="4" w:space="0"/>
                    <w:bottom w:val="single" w:color="auto" w:sz="4" w:space="0"/>
                    <w:right w:val="single" w:color="auto" w:sz="4" w:space="0"/>
                  </w:tcBorders>
                  <w:vAlign w:val="center"/>
                </w:tcPr>
                <w:p w14:paraId="37262CCD">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629" w:type="dxa"/>
                  <w:vMerge w:val="continue"/>
                  <w:tcBorders>
                    <w:top w:val="single" w:color="auto" w:sz="4" w:space="0"/>
                    <w:left w:val="single" w:color="auto" w:sz="4" w:space="0"/>
                    <w:bottom w:val="single" w:color="auto" w:sz="4" w:space="0"/>
                    <w:right w:val="single" w:color="auto" w:sz="4" w:space="0"/>
                  </w:tcBorders>
                  <w:vAlign w:val="center"/>
                </w:tcPr>
                <w:p w14:paraId="6CED25A8">
                  <w:pPr>
                    <w:keepNext w:val="0"/>
                    <w:keepLines w:val="0"/>
                    <w:widowControl/>
                    <w:suppressLineNumbers w:val="0"/>
                    <w:spacing w:before="0" w:beforeAutospacing="0" w:after="0" w:afterAutospacing="0"/>
                    <w:ind w:left="0" w:right="0"/>
                    <w:jc w:val="center"/>
                    <w:rPr>
                      <w:rFonts w:hint="default" w:asciiTheme="minorEastAsia" w:hAnsiTheme="minorEastAsia" w:eastAsiaTheme="minorEastAsia"/>
                      <w:b/>
                      <w:bCs/>
                      <w:color w:val="auto"/>
                      <w:sz w:val="15"/>
                      <w:szCs w:val="15"/>
                    </w:rPr>
                  </w:pPr>
                </w:p>
              </w:tc>
            </w:tr>
            <w:tr w14:paraId="6B799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3" w:hRule="atLeast"/>
                <w:jc w:val="center"/>
              </w:trPr>
              <w:tc>
                <w:tcPr>
                  <w:tcW w:w="1169" w:type="dxa"/>
                  <w:vMerge w:val="restart"/>
                  <w:tcBorders>
                    <w:top w:val="nil"/>
                    <w:left w:val="single" w:color="auto" w:sz="4" w:space="0"/>
                    <w:bottom w:val="single" w:color="auto" w:sz="4" w:space="0"/>
                    <w:right w:val="single" w:color="auto" w:sz="4" w:space="0"/>
                  </w:tcBorders>
                  <w:vAlign w:val="center"/>
                </w:tcPr>
                <w:p w14:paraId="37723296">
                  <w:pPr>
                    <w:pStyle w:val="46"/>
                    <w:keepNext w:val="0"/>
                    <w:keepLines w:val="0"/>
                    <w:widowControl/>
                    <w:suppressLineNumbers w:val="0"/>
                    <w:spacing w:before="0" w:beforeAutospacing="0" w:after="0" w:afterAutospacing="0" w:line="260" w:lineRule="exact"/>
                    <w:ind w:left="0" w:right="0" w:firstLine="0" w:firstLineChars="0"/>
                    <w:jc w:val="center"/>
                    <w:rPr>
                      <w:rFonts w:hint="default" w:asciiTheme="minorEastAsia" w:hAnsiTheme="minorEastAsia" w:eastAsiaTheme="minorEastAsia"/>
                      <w:color w:val="auto"/>
                      <w:sz w:val="15"/>
                      <w:szCs w:val="15"/>
                    </w:rPr>
                  </w:pPr>
                  <w:r>
                    <w:rPr>
                      <w:rFonts w:hint="default" w:asciiTheme="minorEastAsia" w:hAnsiTheme="minorEastAsia" w:eastAsiaTheme="minorEastAsia"/>
                      <w:color w:val="auto"/>
                      <w:sz w:val="15"/>
                      <w:szCs w:val="15"/>
                    </w:rPr>
                    <w:t>环境综合管控单元城镇重点管控单元</w:t>
                  </w:r>
                </w:p>
                <w:p w14:paraId="7DDC3345">
                  <w:pPr>
                    <w:pStyle w:val="46"/>
                    <w:keepNext w:val="0"/>
                    <w:keepLines w:val="0"/>
                    <w:widowControl/>
                    <w:suppressLineNumbers w:val="0"/>
                    <w:spacing w:before="0" w:beforeAutospacing="0" w:after="0" w:afterAutospacing="0" w:line="260" w:lineRule="exact"/>
                    <w:ind w:left="0" w:right="0" w:firstLine="0" w:firstLineChars="0"/>
                    <w:jc w:val="center"/>
                    <w:rPr>
                      <w:rFonts w:hint="default" w:asciiTheme="minorEastAsia" w:hAnsiTheme="minorEastAsia" w:eastAsiaTheme="minorEastAsia"/>
                      <w:color w:val="auto"/>
                      <w:sz w:val="15"/>
                      <w:szCs w:val="15"/>
                    </w:rPr>
                  </w:pPr>
                  <w:r>
                    <w:rPr>
                      <w:rFonts w:hint="default" w:asciiTheme="minorEastAsia" w:hAnsiTheme="minorEastAsia" w:eastAsiaTheme="minorEastAsia"/>
                      <w:color w:val="auto"/>
                      <w:sz w:val="15"/>
                      <w:szCs w:val="15"/>
                    </w:rPr>
                    <w:t>ZH51170220001</w:t>
                  </w:r>
                </w:p>
                <w:p w14:paraId="3395C288">
                  <w:pPr>
                    <w:pStyle w:val="46"/>
                    <w:keepNext w:val="0"/>
                    <w:keepLines w:val="0"/>
                    <w:widowControl/>
                    <w:suppressLineNumbers w:val="0"/>
                    <w:spacing w:before="0" w:beforeAutospacing="0" w:after="0" w:afterAutospacing="0" w:line="260" w:lineRule="exact"/>
                    <w:ind w:left="0" w:right="0" w:firstLine="0" w:firstLineChars="0"/>
                    <w:jc w:val="center"/>
                    <w:rPr>
                      <w:rFonts w:hint="default" w:asciiTheme="minorEastAsia" w:hAnsiTheme="minorEastAsia" w:eastAsiaTheme="minorEastAsia"/>
                      <w:b/>
                      <w:bCs/>
                      <w:color w:val="auto"/>
                      <w:sz w:val="15"/>
                      <w:szCs w:val="15"/>
                    </w:rPr>
                  </w:pPr>
                  <w:r>
                    <w:rPr>
                      <w:rFonts w:hint="default" w:asciiTheme="minorEastAsia" w:hAnsiTheme="minorEastAsia" w:eastAsiaTheme="minorEastAsia"/>
                      <w:color w:val="auto"/>
                      <w:sz w:val="15"/>
                      <w:szCs w:val="15"/>
                    </w:rPr>
                    <w:t>通川区中心城区</w:t>
                  </w:r>
                </w:p>
              </w:tc>
              <w:tc>
                <w:tcPr>
                  <w:tcW w:w="821" w:type="dxa"/>
                  <w:vMerge w:val="restart"/>
                  <w:tcBorders>
                    <w:top w:val="nil"/>
                    <w:left w:val="single" w:color="auto" w:sz="4" w:space="0"/>
                    <w:bottom w:val="single" w:color="auto" w:sz="4" w:space="0"/>
                    <w:right w:val="single" w:color="auto" w:sz="4" w:space="0"/>
                  </w:tcBorders>
                  <w:vAlign w:val="center"/>
                </w:tcPr>
                <w:p w14:paraId="1C00221A">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达州市普适性清单管控要求</w:t>
                  </w:r>
                </w:p>
              </w:tc>
              <w:tc>
                <w:tcPr>
                  <w:tcW w:w="1225" w:type="dxa"/>
                  <w:tcBorders>
                    <w:top w:val="single" w:color="auto" w:sz="4" w:space="0"/>
                    <w:left w:val="single" w:color="auto" w:sz="4" w:space="0"/>
                    <w:bottom w:val="single" w:color="auto" w:sz="4" w:space="0"/>
                    <w:right w:val="single" w:color="auto" w:sz="4" w:space="0"/>
                  </w:tcBorders>
                  <w:vAlign w:val="center"/>
                </w:tcPr>
                <w:p w14:paraId="271210ED">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空间布局约束</w:t>
                  </w:r>
                </w:p>
              </w:tc>
              <w:tc>
                <w:tcPr>
                  <w:tcW w:w="6815" w:type="dxa"/>
                  <w:tcBorders>
                    <w:top w:val="single" w:color="auto" w:sz="4" w:space="0"/>
                    <w:left w:val="single" w:color="auto" w:sz="4" w:space="0"/>
                    <w:bottom w:val="single" w:color="auto" w:sz="4" w:space="0"/>
                    <w:right w:val="single" w:color="auto" w:sz="4" w:space="0"/>
                  </w:tcBorders>
                  <w:vAlign w:val="center"/>
                </w:tcPr>
                <w:p w14:paraId="4DCFFA62">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（1）禁止开发建设活动的要求</w:t>
                  </w:r>
                </w:p>
                <w:p w14:paraId="1F23BB1E">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14:paraId="627AFE44">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-原则上禁止新建工业企业（新建工业企业原则上都应在工业园区内建设）。</w:t>
                  </w:r>
                </w:p>
                <w:p w14:paraId="02F0FBB4">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-禁止在居民区、学校、医疗和养老机构等周边新建有色金属冶炼、焦化、化工、铅蓄电池制造等行业企业，有序搬迁或依法关闭对土壤造成严重污染的现有企业。</w:t>
                  </w:r>
                </w:p>
                <w:p w14:paraId="53314082">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-禁止在长江流域河湖管理范围内倾倒、填埋、堆放、弃置、处理固体废物</w:t>
                  </w:r>
                  <w:r>
                    <w:rPr>
                      <w:rFonts w:hint="default" w:asciiTheme="minorEastAsia" w:hAnsiTheme="minorEastAsia" w:eastAsiaTheme="minorEastAsia"/>
                      <w:color w:val="auto"/>
                      <w:sz w:val="15"/>
                      <w:szCs w:val="15"/>
                    </w:rPr>
                    <w:t>。</w:t>
                  </w:r>
                </w:p>
                <w:p w14:paraId="72E28034">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（2）限制开发建设活动的要求</w:t>
                  </w:r>
                </w:p>
                <w:p w14:paraId="5817C956">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-现有工业企业不得新增污染物排放。</w:t>
                  </w:r>
                </w:p>
                <w:p w14:paraId="4F9CF256">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-允许企业以提升安全、生态环境保护水平为目的的改建，引导企业结合推进新型城镇化、产业结构调整和化解过剩产能等，退城入园，有序搬迁。</w:t>
                  </w:r>
                </w:p>
                <w:p w14:paraId="660B6BBE">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-严格控制在城镇空间范围内新布设工业园区。若新布局工业园区，应符合达州市国土空间规划，并结合区域环境特点、三线成果、园区产业类别，充分论证选址的环境合理性。</w:t>
                  </w:r>
                </w:p>
                <w:p w14:paraId="54D7517C">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-严格控制新增建设用地规模，法定城乡规划除外。</w:t>
                  </w:r>
                </w:p>
                <w:p w14:paraId="411035F6">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（3）不符合空间布局要求活动的退出要求</w:t>
                  </w:r>
                </w:p>
                <w:p w14:paraId="317759EA">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-现有工业企业适时进行有序退出。</w:t>
                  </w:r>
                </w:p>
                <w:p w14:paraId="2762D0B1">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-按照相关规划和要求，清理整顿非法采砂、非法码头，全面清除不合规码头。</w:t>
                  </w:r>
                </w:p>
                <w:p w14:paraId="62679491">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-在全市范围深入开展集中整治“散乱污”工业企业，对不符合产业政策和规划布局的，一律责令停产、限期搬迁或关停；</w:t>
                  </w:r>
                </w:p>
                <w:p w14:paraId="4E7284A9">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-有序搬迁或依法关闭对土壤造成严重污染的现有企业。</w:t>
                  </w:r>
                </w:p>
                <w:p w14:paraId="68E422C1">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-到2025年，城镇人口密集区现有不符合安全和卫生防护距离要求的危险化学品生产企业搬迁进入规范化工园区或关闭退出。</w:t>
                  </w:r>
                </w:p>
                <w:p w14:paraId="0E09B401">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-不断优化长江经济带化工行业空间布局，有效控制化工污染。推进化工企业搬迁入园，加强化工园区基础设施建设。</w:t>
                  </w:r>
                </w:p>
                <w:p w14:paraId="6894200A">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（4）其他空间布局约束要求</w:t>
                  </w:r>
                </w:p>
                <w:p w14:paraId="00920B41">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color w:val="auto"/>
                      <w:sz w:val="15"/>
                      <w:szCs w:val="15"/>
                    </w:rPr>
                    <w:t>暂无</w:t>
                  </w:r>
                  <w:r>
                    <w:rPr>
                      <w:rFonts w:hint="default" w:asciiTheme="minorEastAsia" w:hAnsiTheme="minorEastAsia" w:eastAsiaTheme="minorEastAsia"/>
                      <w:color w:val="auto"/>
                      <w:sz w:val="15"/>
                      <w:szCs w:val="15"/>
                    </w:rPr>
                    <w:t>。</w:t>
                  </w:r>
                </w:p>
              </w:tc>
              <w:tc>
                <w:tcPr>
                  <w:tcW w:w="1415" w:type="dxa"/>
                  <w:tcBorders>
                    <w:top w:val="single" w:color="auto" w:sz="4" w:space="0"/>
                    <w:left w:val="single" w:color="auto" w:sz="4" w:space="0"/>
                    <w:bottom w:val="single" w:color="auto" w:sz="4" w:space="0"/>
                    <w:right w:val="single" w:color="auto" w:sz="4" w:space="0"/>
                  </w:tcBorders>
                  <w:vAlign w:val="center"/>
                </w:tcPr>
                <w:p w14:paraId="578146A2">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color w:val="auto"/>
                      <w:sz w:val="15"/>
                      <w:szCs w:val="15"/>
                    </w:rPr>
                    <w:t>本项目属于医院新建项目，不属于禁止、限制开发的建设项目；项目位于通川区建成区，租用已建的医疗用房建设，符合城市空间布局要求。</w:t>
                  </w:r>
                </w:p>
              </w:tc>
              <w:tc>
                <w:tcPr>
                  <w:tcW w:w="629" w:type="dxa"/>
                  <w:tcBorders>
                    <w:top w:val="single" w:color="auto" w:sz="4" w:space="0"/>
                    <w:left w:val="single" w:color="auto" w:sz="4" w:space="0"/>
                    <w:bottom w:val="single" w:color="auto" w:sz="4" w:space="0"/>
                    <w:right w:val="single" w:color="auto" w:sz="4" w:space="0"/>
                  </w:tcBorders>
                  <w:vAlign w:val="center"/>
                </w:tcPr>
                <w:p w14:paraId="2CA6BF06">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符合</w:t>
                  </w:r>
                </w:p>
              </w:tc>
            </w:tr>
            <w:tr w14:paraId="505A3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169" w:type="dxa"/>
                  <w:vMerge w:val="continue"/>
                  <w:tcBorders>
                    <w:top w:val="nil"/>
                    <w:left w:val="single" w:color="auto" w:sz="4" w:space="0"/>
                    <w:bottom w:val="single" w:color="auto" w:sz="4" w:space="0"/>
                    <w:right w:val="single" w:color="auto" w:sz="4" w:space="0"/>
                  </w:tcBorders>
                  <w:vAlign w:val="center"/>
                </w:tcPr>
                <w:p w14:paraId="2EEBAE3E">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14:paraId="50E4C545">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14:paraId="457B3B60">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污染物排放管控</w:t>
                  </w:r>
                </w:p>
              </w:tc>
              <w:tc>
                <w:tcPr>
                  <w:tcW w:w="6815" w:type="dxa"/>
                  <w:tcBorders>
                    <w:top w:val="single" w:color="auto" w:sz="4" w:space="0"/>
                    <w:left w:val="single" w:color="auto" w:sz="4" w:space="0"/>
                    <w:bottom w:val="single" w:color="auto" w:sz="4" w:space="0"/>
                    <w:right w:val="single" w:color="auto" w:sz="4" w:space="0"/>
                  </w:tcBorders>
                  <w:vAlign w:val="center"/>
                </w:tcPr>
                <w:p w14:paraId="76E9A7BE">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（1）允许排放量要求</w:t>
                  </w:r>
                </w:p>
                <w:p w14:paraId="7BF02549">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达州市2025年水污染物允许排放量COD33136.93t，氨氮2055.16t，TP252.53t；</w:t>
                  </w:r>
                </w:p>
                <w:p w14:paraId="19AF79CB">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（2）现有源提标升级改造</w:t>
                  </w:r>
                </w:p>
                <w:p w14:paraId="467E77D0">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-到2025年，水环境敏感地区污水处理基本达到一级A排放标准。</w:t>
                  </w:r>
                </w:p>
                <w:p w14:paraId="19294C99">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-燃气锅炉升级改造，达到特别排放限值。</w:t>
                  </w:r>
                </w:p>
                <w:p w14:paraId="6F7ED708">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-城市污水处理厂进水生化需氧量（BOD）浓度低于100 mgL的，要围绕服务片区管网，系统排查进水浓度偏低的原因，科学确定水质提升目标，制定并实施“一厂一策”系统化整治方案，稳步提升污水收集处理设施效能。</w:t>
                  </w:r>
                </w:p>
                <w:p w14:paraId="57988BF3">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（3）其他污染物排放管控要求</w:t>
                  </w:r>
                </w:p>
                <w:p w14:paraId="0E91F98C">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新增源等量或倍量替代:-上一年度水环境质量未完成目标的，新建排放水污染的建设项目按照总量管控要求进行倍量削减替代。</w:t>
                  </w:r>
                </w:p>
                <w:p w14:paraId="5E7A296B">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 xml:space="preserve">-上一年度空气质量年平均浓度不达标的城市，建设项目新增相关污染物按照总量管控要求进行倍量削减替代。加快城市天然气利用，增加天然气对煤炭和石油的替代，提高天然气民用、交通、发电、工业领域天然气消费比重。 </w:t>
                  </w:r>
                  <w:r>
                    <w:rPr>
                      <w:rFonts w:hint="default" w:asciiTheme="minorEastAsia" w:hAnsiTheme="minorEastAsia" w:eastAsiaTheme="minorEastAsia"/>
                      <w:color w:val="auto"/>
                      <w:sz w:val="15"/>
                      <w:szCs w:val="15"/>
                    </w:rPr>
                    <w:t xml:space="preserve">                   </w:t>
                  </w:r>
                </w:p>
                <w:p w14:paraId="5C16CF8E">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（4）污染物排放绩效水平准入要求</w:t>
                  </w:r>
                </w:p>
                <w:p w14:paraId="2EAAD785">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严格落实建设工地管理要求，做好扬尘污染管控工作。</w:t>
                  </w:r>
                </w:p>
                <w:p w14:paraId="2BD8414F">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从事机动车修理、印刷、服装干洗、研发等排放挥发性有机污染物的生产作业，应当按照有关技术规范进行综合治理。禁止露天和敞开式喷漆作业；包装印刷业必须使用符合环保要求的油墨；餐饮服务业油烟和废水必须经处理达到相应排放标准要求。</w:t>
                  </w:r>
                </w:p>
                <w:p w14:paraId="3E01DC1E">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建材行业原料破碎、生产、运输、装卸等各环节严格落实抑尘措施，有效控制粉尘无组织排放。-到2023年，城市污泥无害化处置率和资源化利用率进一步提高，力争达州市鲜家坝、周家坝城市生活污水处理厂污泥无害化处置率达92%、各县（市）城市达85%；城市生活污水资源化利用水平明显提升。-到2023年基本实现原生生活垃圾“零填埋”，鼓励跨区域统筹建设焚烧处理设施，在生活垃圾日清运量不足300吨的地区探索开展小型生活垃圾焚烧设施试点；生活垃圾回收利用率力争达30%以上。</w:t>
                  </w:r>
                </w:p>
                <w:p w14:paraId="4948D1F7">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-实施密闭化收运，推广干湿分类收运。强化垃圾渗滤液、焚烧飞灰安全处置，城市生活垃圾无害化处理率保持100%。</w:t>
                  </w:r>
                </w:p>
                <w:p w14:paraId="69346F92">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-到2023年，力争全省生活垃圾焚烧处理能力占比达60%以上，地级以上城市具备厨余垃圾集中处理能力；县城生活垃圾无害化处理率保持95%以上，乡镇及行政村生活垃圾收集转运处置体系基本实现全覆盖；</w:t>
                  </w:r>
                </w:p>
                <w:p w14:paraId="1FBB21B5">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-2030年，渠江流域用水总量控制在31.61亿m3以内，渠江干流COD排放总量限制在4.89万ta内、NH3-N排放总量限制在0.54万ta内。全面推进节水型社会建设，加强河湖（库）水域岸线保护及管理，加强入河排污口规范化建设，加强工业污染、农业农村污染、船舶港口污染防治。对流域内饮用水源地进行有效保护及规范化建设。-到2025年，基本消除城市建成区生活污水直排口和收集处理率设施空白区，城市生活污水集中收集率力争达到70%以上；城市和县城水处理能力基本满足经济社会发展需要，县城污水处理达到95%以上。</w:t>
                  </w:r>
                </w:p>
              </w:tc>
              <w:tc>
                <w:tcPr>
                  <w:tcW w:w="1415" w:type="dxa"/>
                  <w:tcBorders>
                    <w:top w:val="single" w:color="auto" w:sz="4" w:space="0"/>
                    <w:left w:val="single" w:color="auto" w:sz="4" w:space="0"/>
                    <w:bottom w:val="single" w:color="auto" w:sz="4" w:space="0"/>
                    <w:right w:val="single" w:color="auto" w:sz="4" w:space="0"/>
                  </w:tcBorders>
                  <w:vAlign w:val="center"/>
                </w:tcPr>
                <w:p w14:paraId="76EC0F44">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14:paraId="1484F94F">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14:paraId="01FB56EC">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14:paraId="757E76BE">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14:paraId="3ED464F2">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14:paraId="7BEAE32A">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14:paraId="5B4DB170">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14:paraId="55C67271">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14:paraId="18B60852">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14:paraId="221D94E4">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14:paraId="4B8F8401">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14:paraId="49C01181">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14:paraId="00EF2B84">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p>
                <w:p w14:paraId="5AE24298">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项目废水收集率能达到100%，收集与处理后排入市政管网，满足相应的污染物排放要求；通川区为不达标城市，超标因子为PM</w:t>
                  </w:r>
                  <w:r>
                    <w:rPr>
                      <w:rFonts w:hint="eastAsia" w:asciiTheme="minorEastAsia" w:hAnsiTheme="minorEastAsia" w:eastAsiaTheme="minorEastAsia"/>
                      <w:color w:val="auto"/>
                      <w:sz w:val="15"/>
                      <w:szCs w:val="15"/>
                      <w:vertAlign w:val="subscript"/>
                    </w:rPr>
                    <w:t>2.5</w:t>
                  </w:r>
                  <w:r>
                    <w:rPr>
                      <w:rFonts w:hint="eastAsia" w:asciiTheme="minorEastAsia" w:hAnsiTheme="minorEastAsia" w:eastAsiaTheme="minorEastAsia"/>
                      <w:color w:val="auto"/>
                      <w:sz w:val="15"/>
                      <w:szCs w:val="15"/>
                    </w:rPr>
                    <w:t>，本项目不排放PM</w:t>
                  </w:r>
                  <w:r>
                    <w:rPr>
                      <w:rFonts w:hint="eastAsia" w:asciiTheme="minorEastAsia" w:hAnsiTheme="minorEastAsia" w:eastAsiaTheme="minorEastAsia"/>
                      <w:color w:val="auto"/>
                      <w:sz w:val="15"/>
                      <w:szCs w:val="15"/>
                      <w:vertAlign w:val="subscript"/>
                    </w:rPr>
                    <w:t>2.5</w:t>
                  </w:r>
                  <w:r>
                    <w:rPr>
                      <w:rFonts w:hint="eastAsia" w:asciiTheme="minorEastAsia" w:hAnsiTheme="minorEastAsia" w:eastAsiaTheme="minorEastAsia"/>
                      <w:color w:val="auto"/>
                      <w:sz w:val="15"/>
                      <w:szCs w:val="15"/>
                    </w:rPr>
                    <w:t>。</w:t>
                  </w:r>
                </w:p>
              </w:tc>
              <w:tc>
                <w:tcPr>
                  <w:tcW w:w="629" w:type="dxa"/>
                  <w:tcBorders>
                    <w:top w:val="single" w:color="auto" w:sz="4" w:space="0"/>
                    <w:left w:val="single" w:color="auto" w:sz="4" w:space="0"/>
                    <w:bottom w:val="single" w:color="auto" w:sz="4" w:space="0"/>
                    <w:right w:val="single" w:color="auto" w:sz="4" w:space="0"/>
                  </w:tcBorders>
                  <w:vAlign w:val="center"/>
                </w:tcPr>
                <w:p w14:paraId="20ECBA75">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default" w:asciiTheme="minorEastAsia" w:hAnsiTheme="minorEastAsia" w:eastAsiaTheme="minorEastAsia"/>
                      <w:b/>
                      <w:bCs/>
                      <w:color w:val="auto"/>
                      <w:sz w:val="15"/>
                      <w:szCs w:val="15"/>
                    </w:rPr>
                    <w:t>符合</w:t>
                  </w:r>
                </w:p>
              </w:tc>
            </w:tr>
            <w:tr w14:paraId="3AE5F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169" w:type="dxa"/>
                  <w:vMerge w:val="continue"/>
                  <w:tcBorders>
                    <w:top w:val="nil"/>
                    <w:left w:val="single" w:color="auto" w:sz="4" w:space="0"/>
                    <w:bottom w:val="single" w:color="auto" w:sz="4" w:space="0"/>
                    <w:right w:val="single" w:color="auto" w:sz="4" w:space="0"/>
                  </w:tcBorders>
                  <w:vAlign w:val="center"/>
                </w:tcPr>
                <w:p w14:paraId="489C4F98">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14:paraId="3B051067">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14:paraId="6A97CC92">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环境风险防控</w:t>
                  </w:r>
                </w:p>
              </w:tc>
              <w:tc>
                <w:tcPr>
                  <w:tcW w:w="6815" w:type="dxa"/>
                  <w:tcBorders>
                    <w:top w:val="single" w:color="auto" w:sz="4" w:space="0"/>
                    <w:left w:val="single" w:color="auto" w:sz="4" w:space="0"/>
                    <w:bottom w:val="single" w:color="auto" w:sz="4" w:space="0"/>
                    <w:right w:val="single" w:color="auto" w:sz="4" w:space="0"/>
                  </w:tcBorders>
                  <w:vAlign w:val="center"/>
                </w:tcPr>
                <w:p w14:paraId="0923314C">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（1）联防联控要求</w:t>
                  </w:r>
                </w:p>
                <w:p w14:paraId="5E76B785">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14:paraId="35F3BC1A">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（2）其他环境风险防控要求</w:t>
                  </w:r>
                </w:p>
                <w:p w14:paraId="3DE1C581">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企业环境风险防控要求:现有涉及五类重金属的企业，不得新增污染物排放，限期退城入园或关停。用地环境风险防控要求:工业企业退出用地，须经评估、修复满足相应用地功能后，方可改变用途。</w:t>
                  </w:r>
                </w:p>
              </w:tc>
              <w:tc>
                <w:tcPr>
                  <w:tcW w:w="1415" w:type="dxa"/>
                  <w:tcBorders>
                    <w:top w:val="single" w:color="auto" w:sz="4" w:space="0"/>
                    <w:left w:val="single" w:color="auto" w:sz="4" w:space="0"/>
                    <w:bottom w:val="single" w:color="auto" w:sz="4" w:space="0"/>
                    <w:right w:val="single" w:color="auto" w:sz="4" w:space="0"/>
                  </w:tcBorders>
                  <w:vAlign w:val="center"/>
                </w:tcPr>
                <w:p w14:paraId="6875F2E9">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项目不涉及五类重金属排放，建成后将编制《突发环境事件应急预案》，对可能发生的环境事件采取相应的防治措施。</w:t>
                  </w:r>
                </w:p>
              </w:tc>
              <w:tc>
                <w:tcPr>
                  <w:tcW w:w="629" w:type="dxa"/>
                  <w:tcBorders>
                    <w:top w:val="single" w:color="auto" w:sz="4" w:space="0"/>
                    <w:left w:val="single" w:color="auto" w:sz="4" w:space="0"/>
                    <w:bottom w:val="single" w:color="auto" w:sz="4" w:space="0"/>
                    <w:right w:val="single" w:color="auto" w:sz="4" w:space="0"/>
                  </w:tcBorders>
                  <w:vAlign w:val="center"/>
                </w:tcPr>
                <w:p w14:paraId="7EB18B71">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符合</w:t>
                  </w:r>
                </w:p>
              </w:tc>
            </w:tr>
            <w:tr w14:paraId="7219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jc w:val="center"/>
              </w:trPr>
              <w:tc>
                <w:tcPr>
                  <w:tcW w:w="1169" w:type="dxa"/>
                  <w:vMerge w:val="continue"/>
                  <w:tcBorders>
                    <w:top w:val="nil"/>
                    <w:left w:val="single" w:color="auto" w:sz="4" w:space="0"/>
                    <w:bottom w:val="single" w:color="auto" w:sz="4" w:space="0"/>
                    <w:right w:val="single" w:color="auto" w:sz="4" w:space="0"/>
                  </w:tcBorders>
                  <w:vAlign w:val="center"/>
                </w:tcPr>
                <w:p w14:paraId="0EE06893">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14:paraId="5A4D317C">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14:paraId="3C5CF268">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资源开发利用效率要求</w:t>
                  </w:r>
                </w:p>
              </w:tc>
              <w:tc>
                <w:tcPr>
                  <w:tcW w:w="6815" w:type="dxa"/>
                  <w:tcBorders>
                    <w:top w:val="single" w:color="auto" w:sz="4" w:space="0"/>
                    <w:left w:val="single" w:color="auto" w:sz="4" w:space="0"/>
                    <w:bottom w:val="single" w:color="auto" w:sz="4" w:space="0"/>
                    <w:right w:val="single" w:color="auto" w:sz="4" w:space="0"/>
                  </w:tcBorders>
                  <w:vAlign w:val="center"/>
                </w:tcPr>
                <w:p w14:paraId="3B802D31">
                  <w:pPr>
                    <w:keepNext w:val="0"/>
                    <w:keepLines w:val="0"/>
                    <w:numPr>
                      <w:ilvl w:val="0"/>
                      <w:numId w:val="1"/>
                    </w:numPr>
                    <w:suppressLineNumbers w:val="0"/>
                    <w:spacing w:before="0" w:beforeAutospacing="0" w:after="0" w:afterAutospacing="0" w:line="260" w:lineRule="exact"/>
                    <w:ind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水资源利用总量要求</w:t>
                  </w:r>
                </w:p>
                <w:p w14:paraId="012E7893">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-到2025年，全国污水收集效能显著提升，县城及城市污水处理能力基本满足当地经济社会发展需要，水环境敏感地区污水处理基本实现提标升级；全国地级及以上缺水城市再生水利用率达到25%以上。</w:t>
                  </w:r>
                </w:p>
                <w:p w14:paraId="330D1DEB">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（2）地下水开采要求</w:t>
                  </w:r>
                  <w:r>
                    <w:rPr>
                      <w:rFonts w:hint="eastAsia" w:asciiTheme="minorEastAsia" w:hAnsiTheme="minorEastAsia" w:eastAsiaTheme="minorEastAsia"/>
                      <w:color w:val="auto"/>
                      <w:sz w:val="15"/>
                      <w:szCs w:val="15"/>
                    </w:rPr>
                    <w:t>：以省市下发指标为准。</w:t>
                  </w:r>
                </w:p>
                <w:p w14:paraId="24C3892C">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（3）能源利用总量及效率要求</w:t>
                  </w:r>
                  <w:r>
                    <w:rPr>
                      <w:rFonts w:hint="eastAsia" w:asciiTheme="minorEastAsia" w:hAnsiTheme="minorEastAsia" w:eastAsiaTheme="minorEastAsia"/>
                      <w:color w:val="auto"/>
                      <w:sz w:val="15"/>
                      <w:szCs w:val="15"/>
                    </w:rPr>
                    <w:t>：-严控使用燃煤等高污染燃料，禁止焚烧垃圾。</w:t>
                  </w:r>
                </w:p>
                <w:p w14:paraId="235332AB">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-全面淘汰每小时10蒸吨以下的燃煤锅炉；在供气管网覆盖不到的其他地区，改用电、新能源或洁净煤。</w:t>
                  </w:r>
                </w:p>
                <w:p w14:paraId="4E74F8B4">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56426095">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（4）禁燃区要求</w:t>
                  </w:r>
                </w:p>
                <w:p w14:paraId="5F001582">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高污染燃料禁燃区内禁止燃用的燃料为《高污染燃料目录》（2017）中Ⅲ类（严格）燃料组合，包括：（一）煤炭及其制品；（二）石油焦、油页岩、原油、重油、渣油、煤焦油；（三）非专用锅炉或未配置高效除尘设施的专用锅炉燃用的生物质成型燃料。</w:t>
                  </w:r>
                </w:p>
                <w:p w14:paraId="52CCB222">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-禁燃区内禁止销售、燃用高污染燃料；禁止新建、改建、扩建燃用高污染燃料的设施和设备。</w:t>
                  </w:r>
                </w:p>
                <w:p w14:paraId="4B6AC886">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-禁燃区内已建成的高污染燃料燃用设施由辖区人民政府制定限期改造计划，改用天然气、页岩气、液化石油气、电或其他清洁能源。</w:t>
                  </w:r>
                </w:p>
                <w:p w14:paraId="1C9474BB">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（5）其他资源利用效率要求</w:t>
                  </w:r>
                </w:p>
                <w:p w14:paraId="1276E7CA">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暂无。</w:t>
                  </w:r>
                </w:p>
              </w:tc>
              <w:tc>
                <w:tcPr>
                  <w:tcW w:w="1415" w:type="dxa"/>
                  <w:tcBorders>
                    <w:top w:val="single" w:color="auto" w:sz="4" w:space="0"/>
                    <w:left w:val="single" w:color="auto" w:sz="4" w:space="0"/>
                    <w:bottom w:val="single" w:color="auto" w:sz="4" w:space="0"/>
                    <w:right w:val="single" w:color="auto" w:sz="4" w:space="0"/>
                  </w:tcBorders>
                  <w:vAlign w:val="center"/>
                </w:tcPr>
                <w:p w14:paraId="67879FE4">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项目用水来源为市政管网；不涉及地下水开采；能源主要为电能，不设置锅炉，也不涉及使用煤、油等能源。</w:t>
                  </w:r>
                </w:p>
              </w:tc>
              <w:tc>
                <w:tcPr>
                  <w:tcW w:w="629" w:type="dxa"/>
                  <w:tcBorders>
                    <w:top w:val="single" w:color="auto" w:sz="4" w:space="0"/>
                    <w:left w:val="single" w:color="auto" w:sz="4" w:space="0"/>
                    <w:bottom w:val="single" w:color="auto" w:sz="4" w:space="0"/>
                    <w:right w:val="single" w:color="auto" w:sz="4" w:space="0"/>
                  </w:tcBorders>
                  <w:vAlign w:val="center"/>
                </w:tcPr>
                <w:p w14:paraId="5AE5007A">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default" w:asciiTheme="minorEastAsia" w:hAnsiTheme="minorEastAsia" w:eastAsiaTheme="minorEastAsia"/>
                      <w:b/>
                      <w:bCs/>
                      <w:color w:val="auto"/>
                      <w:sz w:val="15"/>
                      <w:szCs w:val="15"/>
                    </w:rPr>
                    <w:t>符合</w:t>
                  </w:r>
                </w:p>
              </w:tc>
            </w:tr>
            <w:tr w14:paraId="3D55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1169" w:type="dxa"/>
                  <w:vMerge w:val="continue"/>
                  <w:tcBorders>
                    <w:top w:val="nil"/>
                    <w:left w:val="single" w:color="auto" w:sz="4" w:space="0"/>
                    <w:bottom w:val="single" w:color="auto" w:sz="4" w:space="0"/>
                    <w:right w:val="single" w:color="auto" w:sz="4" w:space="0"/>
                  </w:tcBorders>
                  <w:vAlign w:val="center"/>
                </w:tcPr>
                <w:p w14:paraId="1DB47744">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restart"/>
                  <w:tcBorders>
                    <w:top w:val="nil"/>
                    <w:left w:val="single" w:color="auto" w:sz="4" w:space="0"/>
                    <w:bottom w:val="single" w:color="auto" w:sz="4" w:space="0"/>
                    <w:right w:val="single" w:color="auto" w:sz="4" w:space="0"/>
                  </w:tcBorders>
                  <w:vAlign w:val="center"/>
                </w:tcPr>
                <w:p w14:paraId="65D6FA73">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单元级清单管控要求</w:t>
                  </w:r>
                </w:p>
              </w:tc>
              <w:tc>
                <w:tcPr>
                  <w:tcW w:w="1225" w:type="dxa"/>
                  <w:tcBorders>
                    <w:top w:val="single" w:color="auto" w:sz="4" w:space="0"/>
                    <w:left w:val="single" w:color="auto" w:sz="4" w:space="0"/>
                    <w:bottom w:val="single" w:color="auto" w:sz="4" w:space="0"/>
                    <w:right w:val="single" w:color="auto" w:sz="4" w:space="0"/>
                  </w:tcBorders>
                  <w:vAlign w:val="center"/>
                </w:tcPr>
                <w:p w14:paraId="1362F5E2">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空间布局约束</w:t>
                  </w:r>
                </w:p>
              </w:tc>
              <w:tc>
                <w:tcPr>
                  <w:tcW w:w="6815" w:type="dxa"/>
                  <w:tcBorders>
                    <w:top w:val="single" w:color="auto" w:sz="4" w:space="0"/>
                    <w:left w:val="single" w:color="auto" w:sz="4" w:space="0"/>
                    <w:bottom w:val="single" w:color="auto" w:sz="4" w:space="0"/>
                    <w:right w:val="single" w:color="auto" w:sz="4" w:space="0"/>
                  </w:tcBorders>
                  <w:vAlign w:val="center"/>
                </w:tcPr>
                <w:p w14:paraId="38A7996C">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（1）禁止开发建设活动的要求</w:t>
                  </w:r>
                </w:p>
                <w:p w14:paraId="2964A858">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执行达州市城镇重点管控单元总体要求。</w:t>
                  </w:r>
                </w:p>
                <w:p w14:paraId="03EF6FE3">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（2）限制开发建设活动的要求</w:t>
                  </w:r>
                </w:p>
                <w:p w14:paraId="0366ADD4">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城市发展遵循“北控、西扩、南拓、东进、中优”的布局战略其他同达州市城镇重点总体管控要求</w:t>
                  </w:r>
                </w:p>
                <w:p w14:paraId="150D6082">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（3）允许开发建设活动的要求</w:t>
                  </w:r>
                </w:p>
                <w:p w14:paraId="6EA2830D">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不符合空间布局要求活动的退出要求</w:t>
                  </w:r>
                </w:p>
                <w:p w14:paraId="7F15C620">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位于城镇空间内的工业园区外工业企业：具有合法手续的企业，且污染物排放及环境风险满足管理要求的企业，可继续保留，不得新增污染物排放，并进一步加强日常环保监管；如无合法手续，或污染物排放超标、环境风险不可控的企业，限期进行整改提升，通过环保、安全、工艺装备升级等落实整改措施并达到相关标准实现合法生产，整改后仍不能达到要求的，属地政府应按相关要求责令关停并退出尽快创造条件搬迁达钢至经开区第二园区，限制达钢工业用地原地扩展。其他同达州市城镇重点总体管控要求。</w:t>
                  </w:r>
                </w:p>
                <w:p w14:paraId="5565E147">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（4）其他空间布局约束要求</w:t>
                  </w:r>
                </w:p>
              </w:tc>
              <w:tc>
                <w:tcPr>
                  <w:tcW w:w="1415" w:type="dxa"/>
                  <w:tcBorders>
                    <w:top w:val="single" w:color="auto" w:sz="4" w:space="0"/>
                    <w:left w:val="single" w:color="auto" w:sz="4" w:space="0"/>
                    <w:bottom w:val="single" w:color="auto" w:sz="4" w:space="0"/>
                    <w:right w:val="single" w:color="auto" w:sz="4" w:space="0"/>
                  </w:tcBorders>
                  <w:vAlign w:val="center"/>
                </w:tcPr>
                <w:p w14:paraId="020AC325">
                  <w:pPr>
                    <w:pStyle w:val="46"/>
                    <w:keepNext w:val="0"/>
                    <w:keepLines w:val="0"/>
                    <w:widowControl/>
                    <w:suppressLineNumbers w:val="0"/>
                    <w:spacing w:before="0" w:beforeAutospacing="0" w:after="0" w:afterAutospacing="0" w:line="260" w:lineRule="exact"/>
                    <w:ind w:left="0" w:right="0" w:firstLine="0" w:firstLineChars="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项目不属于禁止、限制开发建设项目，属于允许建设项目；同时位于通川区城市建成区，符合空间布局要求</w:t>
                  </w:r>
                </w:p>
              </w:tc>
              <w:tc>
                <w:tcPr>
                  <w:tcW w:w="629" w:type="dxa"/>
                  <w:tcBorders>
                    <w:top w:val="single" w:color="auto" w:sz="4" w:space="0"/>
                    <w:left w:val="single" w:color="auto" w:sz="4" w:space="0"/>
                    <w:bottom w:val="single" w:color="auto" w:sz="4" w:space="0"/>
                    <w:right w:val="single" w:color="auto" w:sz="4" w:space="0"/>
                  </w:tcBorders>
                  <w:vAlign w:val="center"/>
                </w:tcPr>
                <w:p w14:paraId="477217DB">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符合</w:t>
                  </w:r>
                </w:p>
              </w:tc>
            </w:tr>
            <w:tr w14:paraId="634F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jc w:val="center"/>
              </w:trPr>
              <w:tc>
                <w:tcPr>
                  <w:tcW w:w="1169" w:type="dxa"/>
                  <w:vMerge w:val="continue"/>
                  <w:tcBorders>
                    <w:top w:val="nil"/>
                    <w:left w:val="single" w:color="auto" w:sz="4" w:space="0"/>
                    <w:bottom w:val="single" w:color="auto" w:sz="4" w:space="0"/>
                    <w:right w:val="single" w:color="auto" w:sz="4" w:space="0"/>
                  </w:tcBorders>
                  <w:vAlign w:val="center"/>
                </w:tcPr>
                <w:p w14:paraId="24A2376D">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14:paraId="4F084676">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14:paraId="3C79BC87">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污染物排放管控</w:t>
                  </w:r>
                </w:p>
              </w:tc>
              <w:tc>
                <w:tcPr>
                  <w:tcW w:w="6815" w:type="dxa"/>
                  <w:tcBorders>
                    <w:top w:val="single" w:color="auto" w:sz="4" w:space="0"/>
                    <w:left w:val="single" w:color="auto" w:sz="4" w:space="0"/>
                    <w:bottom w:val="single" w:color="auto" w:sz="4" w:space="0"/>
                    <w:right w:val="single" w:color="auto" w:sz="4" w:space="0"/>
                  </w:tcBorders>
                  <w:vAlign w:val="center"/>
                </w:tcPr>
                <w:p w14:paraId="08B04795">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（1）现有源提标升级改造</w:t>
                  </w:r>
                </w:p>
                <w:p w14:paraId="6A0A0AAE">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-通川区全域属于四川省大气污染防治重点区域，执行大气污染物特别排放限值</w:t>
                  </w:r>
                </w:p>
                <w:p w14:paraId="2493FC7E">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（2）新增源等量或倍量替代</w:t>
                  </w:r>
                </w:p>
                <w:p w14:paraId="7B8330AE">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执行达州市城镇重点管控单元总体要求</w:t>
                  </w:r>
                </w:p>
                <w:p w14:paraId="164E69E0">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（3）新增源排放标准限值</w:t>
                  </w:r>
                </w:p>
                <w:p w14:paraId="43AD0A79">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通川区全域属于四川省大气污染防治重点区域，执行大气污染物特别排放限值。其他同达州市城镇重点总体准入要求</w:t>
                  </w:r>
                </w:p>
                <w:p w14:paraId="01F3099B">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（4）污染物排放绩效水平准入要求</w:t>
                  </w:r>
                </w:p>
                <w:p w14:paraId="07641FAE">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达钢：未纳入淘汰计划的烧结机和球团设备全部实施烟气脱硫，不得设置脱硫设施烟气旁路；所有钢铁烧结及球团应安装脱硝设施；烧结机头、机尾、高炉出铁场、转炉烟气除尘等设施实施升级改造，露天原料场实施封闭改造，原料转运设施建设封闭皮带通廊，转运站和落料点配套抽风收尘装置。-其他同城镇重点管控单元总体准入要求</w:t>
                  </w:r>
                </w:p>
                <w:p w14:paraId="42408FE9">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（5）其他污染物排放管控要求</w:t>
                  </w:r>
                </w:p>
              </w:tc>
              <w:tc>
                <w:tcPr>
                  <w:tcW w:w="1415" w:type="dxa"/>
                  <w:tcBorders>
                    <w:top w:val="single" w:color="auto" w:sz="4" w:space="0"/>
                    <w:left w:val="single" w:color="auto" w:sz="4" w:space="0"/>
                    <w:bottom w:val="single" w:color="auto" w:sz="4" w:space="0"/>
                    <w:right w:val="single" w:color="auto" w:sz="4" w:space="0"/>
                  </w:tcBorders>
                  <w:vAlign w:val="center"/>
                </w:tcPr>
                <w:p w14:paraId="2613EA2E">
                  <w:pPr>
                    <w:keepNext w:val="0"/>
                    <w:keepLines w:val="0"/>
                    <w:suppressLineNumbers w:val="0"/>
                    <w:spacing w:before="0" w:beforeAutospacing="0" w:after="0" w:afterAutospacing="0" w:line="260" w:lineRule="exact"/>
                    <w:ind w:left="0" w:right="0"/>
                    <w:jc w:val="center"/>
                    <w:rPr>
                      <w:rFonts w:hint="eastAsia" w:asciiTheme="minorEastAsia" w:hAnsiTheme="minorEastAsia" w:eastAsiaTheme="minorEastAsia"/>
                      <w:color w:val="auto"/>
                      <w:sz w:val="15"/>
                      <w:szCs w:val="15"/>
                      <w:highlight w:val="none"/>
                      <w:lang w:val="en-US" w:eastAsia="zh-CN"/>
                    </w:rPr>
                  </w:pPr>
                  <w:r>
                    <w:rPr>
                      <w:rFonts w:hint="eastAsia" w:asciiTheme="minorEastAsia" w:hAnsiTheme="minorEastAsia" w:eastAsiaTheme="minorEastAsia"/>
                      <w:color w:val="auto"/>
                      <w:sz w:val="15"/>
                      <w:szCs w:val="15"/>
                    </w:rPr>
                    <w:t>项目废气执行大气污染物特别排放限值；废水全部收集，预处理后，</w:t>
                  </w:r>
                  <w:r>
                    <w:rPr>
                      <w:rFonts w:hint="eastAsia" w:asciiTheme="minorEastAsia" w:hAnsiTheme="minorEastAsia" w:eastAsiaTheme="minorEastAsia"/>
                      <w:color w:val="auto"/>
                      <w:sz w:val="15"/>
                      <w:szCs w:val="15"/>
                      <w:highlight w:val="none"/>
                    </w:rPr>
                    <w:t>排入</w:t>
                  </w:r>
                  <w:r>
                    <w:rPr>
                      <w:rFonts w:hint="eastAsia" w:asciiTheme="minorEastAsia" w:hAnsiTheme="minorEastAsia" w:eastAsiaTheme="minorEastAsia"/>
                      <w:color w:val="auto"/>
                      <w:sz w:val="15"/>
                      <w:szCs w:val="15"/>
                      <w:highlight w:val="none"/>
                      <w:lang w:val="en-US" w:eastAsia="zh-CN"/>
                    </w:rPr>
                    <w:t>场镇污</w:t>
                  </w:r>
                  <w:r>
                    <w:rPr>
                      <w:rFonts w:hint="eastAsia" w:asciiTheme="minorEastAsia" w:hAnsiTheme="minorEastAsia" w:eastAsiaTheme="minorEastAsia"/>
                      <w:color w:val="auto"/>
                      <w:sz w:val="15"/>
                      <w:szCs w:val="15"/>
                      <w:highlight w:val="none"/>
                    </w:rPr>
                    <w:t>水管网，</w:t>
                  </w:r>
                  <w:r>
                    <w:rPr>
                      <w:rFonts w:hint="eastAsia" w:asciiTheme="minorEastAsia" w:hAnsiTheme="minorEastAsia" w:eastAsiaTheme="minorEastAsia"/>
                      <w:color w:val="auto"/>
                      <w:sz w:val="15"/>
                      <w:szCs w:val="15"/>
                      <w:highlight w:val="none"/>
                      <w:lang w:val="en-US" w:eastAsia="zh-CN"/>
                    </w:rPr>
                    <w:t>最终进入罗江镇场镇污水处理厂</w:t>
                  </w:r>
                </w:p>
                <w:p w14:paraId="686280D1">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highlight w:val="none"/>
                    </w:rPr>
                    <w:t>处理。</w:t>
                  </w:r>
                </w:p>
              </w:tc>
              <w:tc>
                <w:tcPr>
                  <w:tcW w:w="629" w:type="dxa"/>
                  <w:tcBorders>
                    <w:top w:val="single" w:color="auto" w:sz="4" w:space="0"/>
                    <w:left w:val="single" w:color="auto" w:sz="4" w:space="0"/>
                    <w:bottom w:val="single" w:color="auto" w:sz="4" w:space="0"/>
                    <w:right w:val="single" w:color="auto" w:sz="4" w:space="0"/>
                  </w:tcBorders>
                  <w:vAlign w:val="center"/>
                </w:tcPr>
                <w:p w14:paraId="2C0D1CDC">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符合</w:t>
                  </w:r>
                </w:p>
              </w:tc>
            </w:tr>
            <w:tr w14:paraId="6489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69" w:type="dxa"/>
                  <w:vMerge w:val="continue"/>
                  <w:tcBorders>
                    <w:top w:val="nil"/>
                    <w:left w:val="single" w:color="auto" w:sz="4" w:space="0"/>
                    <w:bottom w:val="single" w:color="auto" w:sz="4" w:space="0"/>
                    <w:right w:val="single" w:color="auto" w:sz="4" w:space="0"/>
                  </w:tcBorders>
                  <w:vAlign w:val="center"/>
                </w:tcPr>
                <w:p w14:paraId="65E74BF8">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14:paraId="699F9AE6">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14:paraId="5E6CB664">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环境风险防控</w:t>
                  </w:r>
                </w:p>
              </w:tc>
              <w:tc>
                <w:tcPr>
                  <w:tcW w:w="6815" w:type="dxa"/>
                  <w:tcBorders>
                    <w:top w:val="single" w:color="auto" w:sz="4" w:space="0"/>
                    <w:left w:val="single" w:color="auto" w:sz="4" w:space="0"/>
                    <w:bottom w:val="single" w:color="auto" w:sz="4" w:space="0"/>
                    <w:right w:val="single" w:color="auto" w:sz="4" w:space="0"/>
                  </w:tcBorders>
                  <w:vAlign w:val="center"/>
                </w:tcPr>
                <w:p w14:paraId="20821A00">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（1）严格管控类农用地管控要求</w:t>
                  </w:r>
                </w:p>
                <w:p w14:paraId="66BCC660">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执行达州市城镇重点管控单元总体要求</w:t>
                  </w:r>
                </w:p>
                <w:p w14:paraId="4C8B4E27">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（2）安全利用类农用地管控要求</w:t>
                  </w:r>
                </w:p>
                <w:p w14:paraId="5ADEE534">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有一定危险性仓库用地远离市区，按有关规范选址和建设，留够防护距离，原则上安排在铁山山谷。其他同达州市城镇重点总体准入要求</w:t>
                  </w:r>
                </w:p>
                <w:p w14:paraId="6EC77D64">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（3）污染地块管控要求</w:t>
                  </w:r>
                </w:p>
                <w:p w14:paraId="4823A85C">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执行达州市城镇重点管控单元总体要求</w:t>
                  </w:r>
                </w:p>
                <w:p w14:paraId="158E1058">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（4）园区环境风险防控要求</w:t>
                  </w:r>
                </w:p>
                <w:p w14:paraId="7B0D4B71">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（5）企业环境风险防控要求</w:t>
                  </w:r>
                </w:p>
                <w:p w14:paraId="2E147C7A">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执行达州市城镇重点管控单元总体要求</w:t>
                  </w:r>
                </w:p>
                <w:p w14:paraId="61D4F8B5">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（6）其他环境风险防控要求</w:t>
                  </w:r>
                </w:p>
              </w:tc>
              <w:tc>
                <w:tcPr>
                  <w:tcW w:w="1415" w:type="dxa"/>
                  <w:tcBorders>
                    <w:top w:val="single" w:color="auto" w:sz="4" w:space="0"/>
                    <w:left w:val="single" w:color="auto" w:sz="4" w:space="0"/>
                    <w:bottom w:val="single" w:color="auto" w:sz="4" w:space="0"/>
                    <w:right w:val="single" w:color="auto" w:sz="4" w:space="0"/>
                  </w:tcBorders>
                  <w:vAlign w:val="center"/>
                </w:tcPr>
                <w:p w14:paraId="74603C20">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项目为医院项目，环境风险防控措施满足达州市城镇重点管控单元总体要求。</w:t>
                  </w:r>
                </w:p>
              </w:tc>
              <w:tc>
                <w:tcPr>
                  <w:tcW w:w="629" w:type="dxa"/>
                  <w:tcBorders>
                    <w:top w:val="single" w:color="auto" w:sz="4" w:space="0"/>
                    <w:left w:val="single" w:color="auto" w:sz="4" w:space="0"/>
                    <w:bottom w:val="single" w:color="auto" w:sz="4" w:space="0"/>
                    <w:right w:val="single" w:color="auto" w:sz="4" w:space="0"/>
                  </w:tcBorders>
                  <w:vAlign w:val="center"/>
                </w:tcPr>
                <w:p w14:paraId="71C69352">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符合</w:t>
                  </w:r>
                </w:p>
              </w:tc>
            </w:tr>
            <w:tr w14:paraId="2B44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169" w:type="dxa"/>
                  <w:vMerge w:val="continue"/>
                  <w:tcBorders>
                    <w:top w:val="nil"/>
                    <w:left w:val="single" w:color="auto" w:sz="4" w:space="0"/>
                    <w:bottom w:val="single" w:color="auto" w:sz="4" w:space="0"/>
                    <w:right w:val="single" w:color="auto" w:sz="4" w:space="0"/>
                  </w:tcBorders>
                  <w:vAlign w:val="center"/>
                </w:tcPr>
                <w:p w14:paraId="0D1269BE">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14:paraId="51697ABD">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14:paraId="78D0AF33">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资源开发效率要求</w:t>
                  </w:r>
                </w:p>
              </w:tc>
              <w:tc>
                <w:tcPr>
                  <w:tcW w:w="6815" w:type="dxa"/>
                  <w:tcBorders>
                    <w:top w:val="single" w:color="auto" w:sz="4" w:space="0"/>
                    <w:left w:val="single" w:color="auto" w:sz="4" w:space="0"/>
                    <w:bottom w:val="single" w:color="auto" w:sz="4" w:space="0"/>
                    <w:right w:val="single" w:color="auto" w:sz="4" w:space="0"/>
                  </w:tcBorders>
                  <w:vAlign w:val="center"/>
                </w:tcPr>
                <w:p w14:paraId="0D6D0C07">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（1）水资源利用效率要求</w:t>
                  </w:r>
                </w:p>
                <w:p w14:paraId="39E598F0">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执行达州市城镇重点管控单元总体要求</w:t>
                  </w:r>
                </w:p>
                <w:p w14:paraId="2171B387">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（2）地下水开采要求</w:t>
                  </w:r>
                </w:p>
                <w:p w14:paraId="7B041586">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执行达州市城镇重点管控单元总体要求</w:t>
                  </w:r>
                </w:p>
                <w:p w14:paraId="263C9AF0">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（3）能源利用效率要求</w:t>
                  </w:r>
                </w:p>
                <w:p w14:paraId="6A0DE043">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执行达州市城镇重点管控单元总体要求</w:t>
                  </w:r>
                </w:p>
                <w:p w14:paraId="1C568325">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（4）其他资源利用效率要求</w:t>
                  </w:r>
                </w:p>
                <w:p w14:paraId="3022A330">
                  <w:pPr>
                    <w:pStyle w:val="46"/>
                    <w:keepNext w:val="0"/>
                    <w:keepLines w:val="0"/>
                    <w:widowControl/>
                    <w:suppressLineNumbers w:val="0"/>
                    <w:shd w:val="clear" w:color="auto" w:fill="FFFFFF"/>
                    <w:spacing w:before="0" w:beforeAutospacing="0" w:after="0" w:afterAutospacing="0" w:line="260" w:lineRule="exact"/>
                    <w:ind w:left="0" w:right="0" w:firstLine="0" w:firstLineChars="0"/>
                    <w:jc w:val="left"/>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禁燃区要求：同达州市城镇重点总体准入要求</w:t>
                  </w:r>
                </w:p>
              </w:tc>
              <w:tc>
                <w:tcPr>
                  <w:tcW w:w="1415" w:type="dxa"/>
                  <w:tcBorders>
                    <w:top w:val="single" w:color="auto" w:sz="4" w:space="0"/>
                    <w:left w:val="single" w:color="auto" w:sz="4" w:space="0"/>
                    <w:bottom w:val="single" w:color="auto" w:sz="4" w:space="0"/>
                    <w:right w:val="single" w:color="auto" w:sz="4" w:space="0"/>
                  </w:tcBorders>
                  <w:vAlign w:val="center"/>
                </w:tcPr>
                <w:p w14:paraId="159ADD9D">
                  <w:pPr>
                    <w:pStyle w:val="46"/>
                    <w:keepNext w:val="0"/>
                    <w:keepLines w:val="0"/>
                    <w:widowControl/>
                    <w:suppressLineNumbers w:val="0"/>
                    <w:shd w:val="clear" w:color="auto" w:fill="FFFFFF"/>
                    <w:spacing w:before="0" w:beforeAutospacing="0" w:after="0" w:afterAutospacing="0" w:line="260" w:lineRule="exact"/>
                    <w:ind w:left="0" w:right="0" w:firstLine="0" w:firstLineChars="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资源开发利用效率满足达州市城镇重点管控单元总体要求。</w:t>
                  </w:r>
                </w:p>
              </w:tc>
              <w:tc>
                <w:tcPr>
                  <w:tcW w:w="629" w:type="dxa"/>
                  <w:tcBorders>
                    <w:top w:val="single" w:color="auto" w:sz="4" w:space="0"/>
                    <w:left w:val="single" w:color="auto" w:sz="4" w:space="0"/>
                    <w:bottom w:val="single" w:color="auto" w:sz="4" w:space="0"/>
                    <w:right w:val="single" w:color="auto" w:sz="4" w:space="0"/>
                  </w:tcBorders>
                  <w:vAlign w:val="center"/>
                </w:tcPr>
                <w:p w14:paraId="0A6CEC7B">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符合</w:t>
                  </w:r>
                </w:p>
              </w:tc>
            </w:tr>
            <w:tr w14:paraId="19681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169" w:type="dxa"/>
                  <w:vMerge w:val="restart"/>
                  <w:tcBorders>
                    <w:top w:val="nil"/>
                    <w:left w:val="single" w:color="auto" w:sz="4" w:space="0"/>
                    <w:bottom w:val="single" w:color="auto" w:sz="4" w:space="0"/>
                    <w:right w:val="single" w:color="auto" w:sz="4" w:space="0"/>
                  </w:tcBorders>
                  <w:vAlign w:val="center"/>
                </w:tcPr>
                <w:p w14:paraId="31AA580C">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水环境城镇生活污染重点管控区</w:t>
                  </w:r>
                </w:p>
                <w:p w14:paraId="45D4468C">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YS5117022220001</w:t>
                  </w:r>
                </w:p>
                <w:p w14:paraId="5348237A">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州河通川区车家河控制单元</w:t>
                  </w:r>
                </w:p>
              </w:tc>
              <w:tc>
                <w:tcPr>
                  <w:tcW w:w="821" w:type="dxa"/>
                  <w:vMerge w:val="restart"/>
                  <w:tcBorders>
                    <w:top w:val="nil"/>
                    <w:left w:val="single" w:color="auto" w:sz="4" w:space="0"/>
                    <w:bottom w:val="single" w:color="auto" w:sz="4" w:space="0"/>
                    <w:right w:val="single" w:color="auto" w:sz="4" w:space="0"/>
                  </w:tcBorders>
                  <w:vAlign w:val="center"/>
                </w:tcPr>
                <w:p w14:paraId="1DF0572D">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单元级清单管控要求</w:t>
                  </w:r>
                </w:p>
              </w:tc>
              <w:tc>
                <w:tcPr>
                  <w:tcW w:w="1225" w:type="dxa"/>
                  <w:tcBorders>
                    <w:top w:val="single" w:color="auto" w:sz="4" w:space="0"/>
                    <w:left w:val="single" w:color="auto" w:sz="4" w:space="0"/>
                    <w:bottom w:val="single" w:color="auto" w:sz="4" w:space="0"/>
                    <w:right w:val="single" w:color="auto" w:sz="4" w:space="0"/>
                  </w:tcBorders>
                  <w:vAlign w:val="center"/>
                </w:tcPr>
                <w:p w14:paraId="34416AC2">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空间布局约束</w:t>
                  </w:r>
                </w:p>
              </w:tc>
              <w:tc>
                <w:tcPr>
                  <w:tcW w:w="6815" w:type="dxa"/>
                  <w:tcBorders>
                    <w:top w:val="single" w:color="auto" w:sz="4" w:space="0"/>
                    <w:left w:val="single" w:color="auto" w:sz="4" w:space="0"/>
                    <w:bottom w:val="single" w:color="auto" w:sz="4" w:space="0"/>
                    <w:right w:val="single" w:color="auto" w:sz="4" w:space="0"/>
                  </w:tcBorders>
                  <w:vAlign w:val="center"/>
                </w:tcPr>
                <w:p w14:paraId="7842506F">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禁止开发建设活动的要求</w:t>
                  </w:r>
                </w:p>
                <w:p w14:paraId="10D23CAE">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限制开发建设活动的要求</w:t>
                  </w:r>
                </w:p>
                <w:p w14:paraId="43C070F2">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允许开发建设活动的要求</w:t>
                  </w:r>
                </w:p>
                <w:p w14:paraId="175C3800">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不符合空间布局要求活动的退出要求</w:t>
                  </w:r>
                </w:p>
                <w:p w14:paraId="44420AE6">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其他空间布局约束要求</w:t>
                  </w:r>
                </w:p>
              </w:tc>
              <w:tc>
                <w:tcPr>
                  <w:tcW w:w="1415" w:type="dxa"/>
                  <w:tcBorders>
                    <w:top w:val="single" w:color="auto" w:sz="4" w:space="0"/>
                    <w:left w:val="single" w:color="auto" w:sz="4" w:space="0"/>
                    <w:bottom w:val="single" w:color="auto" w:sz="4" w:space="0"/>
                    <w:right w:val="single" w:color="auto" w:sz="4" w:space="0"/>
                  </w:tcBorders>
                  <w:vAlign w:val="center"/>
                </w:tcPr>
                <w:p w14:paraId="3F4E25FA">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不属于禁止、限制开发建设项目，属于允许建设项目，符合空间布局要求。</w:t>
                  </w:r>
                </w:p>
              </w:tc>
              <w:tc>
                <w:tcPr>
                  <w:tcW w:w="629" w:type="dxa"/>
                  <w:tcBorders>
                    <w:top w:val="single" w:color="auto" w:sz="4" w:space="0"/>
                    <w:left w:val="single" w:color="auto" w:sz="4" w:space="0"/>
                    <w:bottom w:val="single" w:color="auto" w:sz="4" w:space="0"/>
                    <w:right w:val="single" w:color="auto" w:sz="4" w:space="0"/>
                  </w:tcBorders>
                  <w:vAlign w:val="center"/>
                </w:tcPr>
                <w:p w14:paraId="16A8CF2B">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符合</w:t>
                  </w:r>
                </w:p>
              </w:tc>
            </w:tr>
            <w:tr w14:paraId="30BB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169" w:type="dxa"/>
                  <w:vMerge w:val="continue"/>
                  <w:tcBorders>
                    <w:top w:val="nil"/>
                    <w:left w:val="single" w:color="auto" w:sz="4" w:space="0"/>
                    <w:bottom w:val="single" w:color="auto" w:sz="4" w:space="0"/>
                    <w:right w:val="single" w:color="auto" w:sz="4" w:space="0"/>
                  </w:tcBorders>
                  <w:vAlign w:val="center"/>
                </w:tcPr>
                <w:p w14:paraId="3B5C53B4">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14:paraId="16AF2567">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14:paraId="588AE391">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污染物排放管控</w:t>
                  </w:r>
                </w:p>
              </w:tc>
              <w:tc>
                <w:tcPr>
                  <w:tcW w:w="6815" w:type="dxa"/>
                  <w:tcBorders>
                    <w:top w:val="single" w:color="auto" w:sz="4" w:space="0"/>
                    <w:left w:val="single" w:color="auto" w:sz="4" w:space="0"/>
                    <w:bottom w:val="single" w:color="auto" w:sz="4" w:space="0"/>
                    <w:right w:val="single" w:color="auto" w:sz="4" w:space="0"/>
                  </w:tcBorders>
                  <w:vAlign w:val="center"/>
                </w:tcPr>
                <w:p w14:paraId="39510C28">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（1）城镇污水污染控制措施要求</w:t>
                  </w:r>
                </w:p>
                <w:p w14:paraId="0B932FC8">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强化生活污水治理，以尾水排放去向确定排放标准，因地制宜选取治理技术及方法，加快污水处理设施建设运行，城污水城镇生活污水处理厂出水达到《城镇污水处理厂污染物排放标准》（GB18925）要求；鼓励农村生活污水实行资源化利用，排放的尾水达到《农村生活污水处理设施水污染物排放标准》要求。强化生活垃圾收集处理，推广生活垃圾分类收集处理，从源头减少处理处置量。</w:t>
                  </w:r>
                </w:p>
                <w:p w14:paraId="12DA7C0E">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（2）工业废水污染控制措施要求</w:t>
                  </w:r>
                </w:p>
                <w:p w14:paraId="6EF13C17">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（3）农业面源水污染控制措施要求</w:t>
                  </w:r>
                </w:p>
                <w:p w14:paraId="23987AB0">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（4）船舶港口水污染控制措施要求</w:t>
                  </w:r>
                </w:p>
                <w:p w14:paraId="5178FB35">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（5）饮用水水源和其它特殊水体保护要求</w:t>
                  </w:r>
                </w:p>
              </w:tc>
              <w:tc>
                <w:tcPr>
                  <w:tcW w:w="1415" w:type="dxa"/>
                  <w:tcBorders>
                    <w:top w:val="single" w:color="auto" w:sz="4" w:space="0"/>
                    <w:left w:val="single" w:color="auto" w:sz="4" w:space="0"/>
                    <w:bottom w:val="single" w:color="auto" w:sz="4" w:space="0"/>
                    <w:right w:val="single" w:color="auto" w:sz="4" w:space="0"/>
                  </w:tcBorders>
                  <w:vAlign w:val="center"/>
                </w:tcPr>
                <w:p w14:paraId="1C82FE2A">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项目位于城市建成区，属于城市污水管网覆盖区域，建成后将完善排污许可手续。</w:t>
                  </w:r>
                </w:p>
              </w:tc>
              <w:tc>
                <w:tcPr>
                  <w:tcW w:w="629" w:type="dxa"/>
                  <w:tcBorders>
                    <w:top w:val="single" w:color="auto" w:sz="4" w:space="0"/>
                    <w:left w:val="single" w:color="auto" w:sz="4" w:space="0"/>
                    <w:bottom w:val="single" w:color="auto" w:sz="4" w:space="0"/>
                    <w:right w:val="single" w:color="auto" w:sz="4" w:space="0"/>
                  </w:tcBorders>
                  <w:vAlign w:val="center"/>
                </w:tcPr>
                <w:p w14:paraId="3CB4CC0E">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符合</w:t>
                  </w:r>
                </w:p>
              </w:tc>
            </w:tr>
            <w:tr w14:paraId="7F58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169" w:type="dxa"/>
                  <w:vMerge w:val="continue"/>
                  <w:tcBorders>
                    <w:top w:val="nil"/>
                    <w:left w:val="single" w:color="auto" w:sz="4" w:space="0"/>
                    <w:bottom w:val="single" w:color="auto" w:sz="4" w:space="0"/>
                    <w:right w:val="single" w:color="auto" w:sz="4" w:space="0"/>
                  </w:tcBorders>
                  <w:vAlign w:val="center"/>
                </w:tcPr>
                <w:p w14:paraId="6719A6F8">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14:paraId="2CF47155">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14:paraId="5DF69C4A">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环境风险防控</w:t>
                  </w:r>
                </w:p>
              </w:tc>
              <w:tc>
                <w:tcPr>
                  <w:tcW w:w="6815" w:type="dxa"/>
                  <w:tcBorders>
                    <w:top w:val="single" w:color="auto" w:sz="4" w:space="0"/>
                    <w:left w:val="single" w:color="auto" w:sz="4" w:space="0"/>
                    <w:bottom w:val="single" w:color="auto" w:sz="4" w:space="0"/>
                    <w:right w:val="single" w:color="auto" w:sz="4" w:space="0"/>
                  </w:tcBorders>
                  <w:vAlign w:val="center"/>
                </w:tcPr>
                <w:p w14:paraId="1EE411FE">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1415" w:type="dxa"/>
                  <w:tcBorders>
                    <w:top w:val="single" w:color="auto" w:sz="4" w:space="0"/>
                    <w:left w:val="single" w:color="auto" w:sz="4" w:space="0"/>
                    <w:bottom w:val="single" w:color="auto" w:sz="4" w:space="0"/>
                    <w:right w:val="single" w:color="auto" w:sz="4" w:space="0"/>
                  </w:tcBorders>
                  <w:vAlign w:val="center"/>
                </w:tcPr>
                <w:p w14:paraId="365913BB">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建设单位将编制《突发环境事件应急预案》并报当地生态环境主管部门备案，严格按照要求建设应急设施</w:t>
                  </w:r>
                </w:p>
              </w:tc>
              <w:tc>
                <w:tcPr>
                  <w:tcW w:w="629" w:type="dxa"/>
                  <w:tcBorders>
                    <w:top w:val="single" w:color="auto" w:sz="4" w:space="0"/>
                    <w:left w:val="single" w:color="auto" w:sz="4" w:space="0"/>
                    <w:bottom w:val="single" w:color="auto" w:sz="4" w:space="0"/>
                    <w:right w:val="single" w:color="auto" w:sz="4" w:space="0"/>
                  </w:tcBorders>
                  <w:vAlign w:val="center"/>
                </w:tcPr>
                <w:p w14:paraId="1623B17C">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符合</w:t>
                  </w:r>
                </w:p>
              </w:tc>
            </w:tr>
            <w:tr w14:paraId="508B3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169" w:type="dxa"/>
                  <w:vMerge w:val="continue"/>
                  <w:tcBorders>
                    <w:top w:val="nil"/>
                    <w:left w:val="single" w:color="auto" w:sz="4" w:space="0"/>
                    <w:bottom w:val="single" w:color="auto" w:sz="4" w:space="0"/>
                    <w:right w:val="single" w:color="auto" w:sz="4" w:space="0"/>
                  </w:tcBorders>
                  <w:vAlign w:val="center"/>
                </w:tcPr>
                <w:p w14:paraId="16CBCC31">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14:paraId="00B7D96D">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14:paraId="15A6F354">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资源开发效率要求</w:t>
                  </w:r>
                </w:p>
              </w:tc>
              <w:tc>
                <w:tcPr>
                  <w:tcW w:w="6815" w:type="dxa"/>
                  <w:tcBorders>
                    <w:top w:val="single" w:color="auto" w:sz="4" w:space="0"/>
                    <w:left w:val="single" w:color="auto" w:sz="4" w:space="0"/>
                    <w:bottom w:val="single" w:color="auto" w:sz="4" w:space="0"/>
                    <w:right w:val="single" w:color="auto" w:sz="4" w:space="0"/>
                  </w:tcBorders>
                  <w:vAlign w:val="center"/>
                </w:tcPr>
                <w:p w14:paraId="33AD0962">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w:t>
                  </w:r>
                </w:p>
              </w:tc>
              <w:tc>
                <w:tcPr>
                  <w:tcW w:w="1415" w:type="dxa"/>
                  <w:tcBorders>
                    <w:top w:val="single" w:color="auto" w:sz="4" w:space="0"/>
                    <w:left w:val="single" w:color="auto" w:sz="4" w:space="0"/>
                    <w:bottom w:val="single" w:color="auto" w:sz="4" w:space="0"/>
                    <w:right w:val="single" w:color="auto" w:sz="4" w:space="0"/>
                  </w:tcBorders>
                  <w:vAlign w:val="center"/>
                </w:tcPr>
                <w:p w14:paraId="0B3752BB">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w:t>
                  </w:r>
                </w:p>
              </w:tc>
              <w:tc>
                <w:tcPr>
                  <w:tcW w:w="629" w:type="dxa"/>
                  <w:tcBorders>
                    <w:top w:val="single" w:color="auto" w:sz="4" w:space="0"/>
                    <w:left w:val="single" w:color="auto" w:sz="4" w:space="0"/>
                    <w:bottom w:val="single" w:color="auto" w:sz="4" w:space="0"/>
                    <w:right w:val="single" w:color="auto" w:sz="4" w:space="0"/>
                  </w:tcBorders>
                  <w:vAlign w:val="center"/>
                </w:tcPr>
                <w:p w14:paraId="2793C448">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w:t>
                  </w:r>
                </w:p>
              </w:tc>
            </w:tr>
            <w:tr w14:paraId="3FA5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169" w:type="dxa"/>
                  <w:vMerge w:val="restart"/>
                  <w:tcBorders>
                    <w:top w:val="nil"/>
                    <w:left w:val="single" w:color="auto" w:sz="4" w:space="0"/>
                    <w:bottom w:val="single" w:color="auto" w:sz="4" w:space="0"/>
                    <w:right w:val="single" w:color="auto" w:sz="4" w:space="0"/>
                  </w:tcBorders>
                  <w:vAlign w:val="center"/>
                </w:tcPr>
                <w:p w14:paraId="31EB443C">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大气环境受体敏感重点管控区</w:t>
                  </w:r>
                </w:p>
                <w:p w14:paraId="3BF34950">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YS5117022340005</w:t>
                  </w:r>
                </w:p>
                <w:p w14:paraId="3F70EC58">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通川区中心城区</w:t>
                  </w:r>
                </w:p>
              </w:tc>
              <w:tc>
                <w:tcPr>
                  <w:tcW w:w="821" w:type="dxa"/>
                  <w:vMerge w:val="restart"/>
                  <w:tcBorders>
                    <w:top w:val="nil"/>
                    <w:left w:val="single" w:color="auto" w:sz="4" w:space="0"/>
                    <w:bottom w:val="single" w:color="auto" w:sz="4" w:space="0"/>
                    <w:right w:val="single" w:color="auto" w:sz="4" w:space="0"/>
                  </w:tcBorders>
                  <w:vAlign w:val="center"/>
                </w:tcPr>
                <w:p w14:paraId="270F64B5">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单元级清单管控要求</w:t>
                  </w:r>
                </w:p>
              </w:tc>
              <w:tc>
                <w:tcPr>
                  <w:tcW w:w="1225" w:type="dxa"/>
                  <w:tcBorders>
                    <w:top w:val="single" w:color="auto" w:sz="4" w:space="0"/>
                    <w:left w:val="single" w:color="auto" w:sz="4" w:space="0"/>
                    <w:bottom w:val="single" w:color="auto" w:sz="4" w:space="0"/>
                    <w:right w:val="single" w:color="auto" w:sz="4" w:space="0"/>
                  </w:tcBorders>
                  <w:vAlign w:val="center"/>
                </w:tcPr>
                <w:p w14:paraId="3AB48A97">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空间布局约束</w:t>
                  </w:r>
                </w:p>
              </w:tc>
              <w:tc>
                <w:tcPr>
                  <w:tcW w:w="6815" w:type="dxa"/>
                  <w:tcBorders>
                    <w:top w:val="single" w:color="auto" w:sz="4" w:space="0"/>
                    <w:left w:val="single" w:color="auto" w:sz="4" w:space="0"/>
                    <w:bottom w:val="single" w:color="auto" w:sz="4" w:space="0"/>
                    <w:right w:val="single" w:color="auto" w:sz="4" w:space="0"/>
                  </w:tcBorders>
                  <w:vAlign w:val="center"/>
                </w:tcPr>
                <w:p w14:paraId="5CF62F43">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禁止开发建设活动的要求</w:t>
                  </w:r>
                </w:p>
                <w:p w14:paraId="56F81ED4">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限制开发建设活动的要求</w:t>
                  </w:r>
                </w:p>
                <w:p w14:paraId="7C20B9C3">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允许开发建设活动的要求</w:t>
                  </w:r>
                </w:p>
                <w:p w14:paraId="52B6A345">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不符合空间布局要求活动的退出要求</w:t>
                  </w:r>
                </w:p>
                <w:p w14:paraId="54400898">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其他空间布局约束要求</w:t>
                  </w:r>
                </w:p>
              </w:tc>
              <w:tc>
                <w:tcPr>
                  <w:tcW w:w="1415" w:type="dxa"/>
                  <w:tcBorders>
                    <w:top w:val="single" w:color="auto" w:sz="4" w:space="0"/>
                    <w:left w:val="single" w:color="auto" w:sz="4" w:space="0"/>
                    <w:bottom w:val="single" w:color="auto" w:sz="4" w:space="0"/>
                    <w:right w:val="single" w:color="auto" w:sz="4" w:space="0"/>
                  </w:tcBorders>
                  <w:vAlign w:val="center"/>
                </w:tcPr>
                <w:p w14:paraId="60250205">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不属于禁止、限制开发建设项目，属于允许建设项目，符合空间布局要求。</w:t>
                  </w:r>
                </w:p>
              </w:tc>
              <w:tc>
                <w:tcPr>
                  <w:tcW w:w="629" w:type="dxa"/>
                  <w:tcBorders>
                    <w:top w:val="single" w:color="auto" w:sz="4" w:space="0"/>
                    <w:left w:val="single" w:color="auto" w:sz="4" w:space="0"/>
                    <w:bottom w:val="single" w:color="auto" w:sz="4" w:space="0"/>
                    <w:right w:val="single" w:color="auto" w:sz="4" w:space="0"/>
                  </w:tcBorders>
                  <w:vAlign w:val="center"/>
                </w:tcPr>
                <w:p w14:paraId="02525158">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b/>
                      <w:bCs/>
                      <w:color w:val="auto"/>
                      <w:sz w:val="15"/>
                      <w:szCs w:val="15"/>
                    </w:rPr>
                    <w:t>符合</w:t>
                  </w:r>
                </w:p>
              </w:tc>
            </w:tr>
            <w:tr w14:paraId="1DE9E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1169" w:type="dxa"/>
                  <w:vMerge w:val="continue"/>
                  <w:tcBorders>
                    <w:top w:val="nil"/>
                    <w:left w:val="single" w:color="auto" w:sz="4" w:space="0"/>
                    <w:bottom w:val="single" w:color="auto" w:sz="4" w:space="0"/>
                    <w:right w:val="single" w:color="auto" w:sz="4" w:space="0"/>
                  </w:tcBorders>
                  <w:vAlign w:val="center"/>
                </w:tcPr>
                <w:p w14:paraId="045318AB">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14:paraId="08B785A9">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14:paraId="6EAD11DE">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污染物排放管控</w:t>
                  </w:r>
                </w:p>
              </w:tc>
              <w:tc>
                <w:tcPr>
                  <w:tcW w:w="6815" w:type="dxa"/>
                  <w:tcBorders>
                    <w:top w:val="single" w:color="auto" w:sz="4" w:space="0"/>
                    <w:left w:val="single" w:color="auto" w:sz="4" w:space="0"/>
                    <w:bottom w:val="single" w:color="auto" w:sz="4" w:space="0"/>
                    <w:right w:val="single" w:color="auto" w:sz="4" w:space="0"/>
                  </w:tcBorders>
                  <w:vAlign w:val="center"/>
                </w:tcPr>
                <w:p w14:paraId="56A53A65">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（1）大气环境质量执行标准</w:t>
                  </w:r>
                </w:p>
                <w:p w14:paraId="2A0880CB">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《环境空气质量标准》（GB3095-2012）：二级</w:t>
                  </w:r>
                </w:p>
                <w:p w14:paraId="5BC14DB6">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（2）区域大气污染物削减/替代要求</w:t>
                  </w:r>
                </w:p>
                <w:p w14:paraId="6ADD803E">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新增大气污染物排放的建设项目实施总量削减替代。</w:t>
                  </w:r>
                </w:p>
                <w:p w14:paraId="6DAE8316">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（3）燃煤和其他能源大气污染控制要求</w:t>
                  </w:r>
                </w:p>
                <w:p w14:paraId="1BEDAE61">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（4）工业废气污染控制要求</w:t>
                  </w:r>
                </w:p>
                <w:p w14:paraId="7C2930EF">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（5）机动车船大气污染控制要求</w:t>
                  </w:r>
                </w:p>
                <w:p w14:paraId="6C27EC06">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（6）扬尘污染控制要求</w:t>
                  </w:r>
                </w:p>
                <w:p w14:paraId="7E5B01F9">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（7）农业生产经营活动大气污染控制要求</w:t>
                  </w:r>
                </w:p>
                <w:p w14:paraId="77BC7BB1">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（8）重点行业企业专项治理要求</w:t>
                  </w:r>
                </w:p>
                <w:p w14:paraId="07C5E290">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（9）其他大气污染物排放管控要求</w:t>
                  </w:r>
                </w:p>
              </w:tc>
              <w:tc>
                <w:tcPr>
                  <w:tcW w:w="1415" w:type="dxa"/>
                  <w:tcBorders>
                    <w:top w:val="single" w:color="auto" w:sz="4" w:space="0"/>
                    <w:left w:val="single" w:color="auto" w:sz="4" w:space="0"/>
                    <w:bottom w:val="single" w:color="auto" w:sz="4" w:space="0"/>
                    <w:right w:val="single" w:color="auto" w:sz="4" w:space="0"/>
                  </w:tcBorders>
                  <w:vAlign w:val="center"/>
                </w:tcPr>
                <w:p w14:paraId="613D6483">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项目区域环境空气质量满足《环境空气质量标准》（GB3095-2012）二级标准。</w:t>
                  </w:r>
                </w:p>
              </w:tc>
              <w:tc>
                <w:tcPr>
                  <w:tcW w:w="629" w:type="dxa"/>
                  <w:tcBorders>
                    <w:top w:val="single" w:color="auto" w:sz="4" w:space="0"/>
                    <w:left w:val="single" w:color="auto" w:sz="4" w:space="0"/>
                    <w:bottom w:val="single" w:color="auto" w:sz="4" w:space="0"/>
                    <w:right w:val="single" w:color="auto" w:sz="4" w:space="0"/>
                  </w:tcBorders>
                  <w:vAlign w:val="center"/>
                </w:tcPr>
                <w:p w14:paraId="389988FC">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符合</w:t>
                  </w:r>
                </w:p>
              </w:tc>
            </w:tr>
            <w:tr w14:paraId="1D5A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169" w:type="dxa"/>
                  <w:vMerge w:val="continue"/>
                  <w:tcBorders>
                    <w:top w:val="nil"/>
                    <w:left w:val="single" w:color="auto" w:sz="4" w:space="0"/>
                    <w:bottom w:val="single" w:color="auto" w:sz="4" w:space="0"/>
                    <w:right w:val="single" w:color="auto" w:sz="4" w:space="0"/>
                  </w:tcBorders>
                  <w:vAlign w:val="center"/>
                </w:tcPr>
                <w:p w14:paraId="54315936">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14:paraId="7816CCA0">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14:paraId="1C336AD2">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环境风险防控</w:t>
                  </w:r>
                </w:p>
              </w:tc>
              <w:tc>
                <w:tcPr>
                  <w:tcW w:w="6815" w:type="dxa"/>
                  <w:tcBorders>
                    <w:top w:val="single" w:color="auto" w:sz="4" w:space="0"/>
                    <w:left w:val="single" w:color="auto" w:sz="4" w:space="0"/>
                    <w:bottom w:val="single" w:color="auto" w:sz="4" w:space="0"/>
                    <w:right w:val="single" w:color="auto" w:sz="4" w:space="0"/>
                  </w:tcBorders>
                  <w:vAlign w:val="center"/>
                </w:tcPr>
                <w:p w14:paraId="014C847C">
                  <w:pPr>
                    <w:keepNext w:val="0"/>
                    <w:keepLines w:val="0"/>
                    <w:suppressLineNumbers w:val="0"/>
                    <w:spacing w:before="0" w:beforeAutospacing="0" w:after="0" w:afterAutospacing="0" w:line="260" w:lineRule="exact"/>
                    <w:ind w:left="0" w:right="0"/>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现有涉及五类重金属的企业，不得新增污染物排放，限期退城入园或关停；工业企业退出用地，须经评估、修复满足相应用地功能后，方可改变用途</w:t>
                  </w:r>
                </w:p>
              </w:tc>
              <w:tc>
                <w:tcPr>
                  <w:tcW w:w="1415" w:type="dxa"/>
                  <w:tcBorders>
                    <w:top w:val="single" w:color="auto" w:sz="4" w:space="0"/>
                    <w:left w:val="single" w:color="auto" w:sz="4" w:space="0"/>
                    <w:bottom w:val="single" w:color="auto" w:sz="4" w:space="0"/>
                    <w:right w:val="single" w:color="auto" w:sz="4" w:space="0"/>
                  </w:tcBorders>
                  <w:vAlign w:val="center"/>
                </w:tcPr>
                <w:p w14:paraId="199C4CA1">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项目为新建医院，租用已建商业用房建设，不涉及五类重金属，风险可控</w:t>
                  </w:r>
                </w:p>
              </w:tc>
              <w:tc>
                <w:tcPr>
                  <w:tcW w:w="629" w:type="dxa"/>
                  <w:tcBorders>
                    <w:top w:val="single" w:color="auto" w:sz="4" w:space="0"/>
                    <w:left w:val="single" w:color="auto" w:sz="4" w:space="0"/>
                    <w:bottom w:val="single" w:color="auto" w:sz="4" w:space="0"/>
                    <w:right w:val="single" w:color="auto" w:sz="4" w:space="0"/>
                  </w:tcBorders>
                  <w:vAlign w:val="center"/>
                </w:tcPr>
                <w:p w14:paraId="33A684B8">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w:t>
                  </w:r>
                </w:p>
              </w:tc>
            </w:tr>
            <w:tr w14:paraId="21C9B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169" w:type="dxa"/>
                  <w:vMerge w:val="continue"/>
                  <w:tcBorders>
                    <w:top w:val="nil"/>
                    <w:left w:val="single" w:color="auto" w:sz="4" w:space="0"/>
                    <w:bottom w:val="single" w:color="auto" w:sz="4" w:space="0"/>
                    <w:right w:val="single" w:color="auto" w:sz="4" w:space="0"/>
                  </w:tcBorders>
                  <w:vAlign w:val="center"/>
                </w:tcPr>
                <w:p w14:paraId="6B5EB7EA">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b/>
                      <w:bCs/>
                      <w:color w:val="auto"/>
                      <w:sz w:val="15"/>
                      <w:szCs w:val="15"/>
                    </w:rPr>
                  </w:pPr>
                </w:p>
              </w:tc>
              <w:tc>
                <w:tcPr>
                  <w:tcW w:w="821" w:type="dxa"/>
                  <w:vMerge w:val="continue"/>
                  <w:tcBorders>
                    <w:top w:val="nil"/>
                    <w:left w:val="single" w:color="auto" w:sz="4" w:space="0"/>
                    <w:bottom w:val="single" w:color="auto" w:sz="4" w:space="0"/>
                    <w:right w:val="single" w:color="auto" w:sz="4" w:space="0"/>
                  </w:tcBorders>
                  <w:vAlign w:val="center"/>
                </w:tcPr>
                <w:p w14:paraId="1CDE8206">
                  <w:pPr>
                    <w:keepNext w:val="0"/>
                    <w:keepLines w:val="0"/>
                    <w:widowControl/>
                    <w:suppressLineNumbers w:val="0"/>
                    <w:spacing w:before="0" w:beforeAutospacing="0" w:after="0" w:afterAutospacing="0"/>
                    <w:ind w:left="0" w:right="0"/>
                    <w:jc w:val="left"/>
                    <w:rPr>
                      <w:rFonts w:hint="default" w:asciiTheme="minorEastAsia" w:hAnsiTheme="minorEastAsia" w:eastAsiaTheme="minorEastAsia"/>
                      <w:color w:val="auto"/>
                      <w:sz w:val="15"/>
                      <w:szCs w:val="15"/>
                    </w:rPr>
                  </w:pPr>
                </w:p>
              </w:tc>
              <w:tc>
                <w:tcPr>
                  <w:tcW w:w="1225" w:type="dxa"/>
                  <w:tcBorders>
                    <w:top w:val="single" w:color="auto" w:sz="4" w:space="0"/>
                    <w:left w:val="single" w:color="auto" w:sz="4" w:space="0"/>
                    <w:bottom w:val="single" w:color="auto" w:sz="4" w:space="0"/>
                    <w:right w:val="single" w:color="auto" w:sz="4" w:space="0"/>
                  </w:tcBorders>
                  <w:vAlign w:val="center"/>
                </w:tcPr>
                <w:p w14:paraId="0646D8BD">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b/>
                      <w:bCs/>
                      <w:color w:val="auto"/>
                      <w:sz w:val="15"/>
                      <w:szCs w:val="15"/>
                    </w:rPr>
                  </w:pPr>
                  <w:r>
                    <w:rPr>
                      <w:rFonts w:hint="eastAsia" w:asciiTheme="minorEastAsia" w:hAnsiTheme="minorEastAsia" w:eastAsiaTheme="minorEastAsia"/>
                      <w:b/>
                      <w:bCs/>
                      <w:color w:val="auto"/>
                      <w:sz w:val="15"/>
                      <w:szCs w:val="15"/>
                    </w:rPr>
                    <w:t>资源开发效率要求</w:t>
                  </w:r>
                </w:p>
              </w:tc>
              <w:tc>
                <w:tcPr>
                  <w:tcW w:w="6815" w:type="dxa"/>
                  <w:tcBorders>
                    <w:top w:val="single" w:color="auto" w:sz="4" w:space="0"/>
                    <w:left w:val="single" w:color="auto" w:sz="4" w:space="0"/>
                    <w:bottom w:val="single" w:color="auto" w:sz="4" w:space="0"/>
                    <w:right w:val="single" w:color="auto" w:sz="4" w:space="0"/>
                  </w:tcBorders>
                  <w:vAlign w:val="center"/>
                </w:tcPr>
                <w:p w14:paraId="42645006">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w:t>
                  </w:r>
                </w:p>
              </w:tc>
              <w:tc>
                <w:tcPr>
                  <w:tcW w:w="1415" w:type="dxa"/>
                  <w:tcBorders>
                    <w:top w:val="single" w:color="auto" w:sz="4" w:space="0"/>
                    <w:left w:val="single" w:color="auto" w:sz="4" w:space="0"/>
                    <w:bottom w:val="single" w:color="auto" w:sz="4" w:space="0"/>
                    <w:right w:val="single" w:color="auto" w:sz="4" w:space="0"/>
                  </w:tcBorders>
                  <w:vAlign w:val="center"/>
                </w:tcPr>
                <w:p w14:paraId="3BF81EE1">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w:t>
                  </w:r>
                </w:p>
              </w:tc>
              <w:tc>
                <w:tcPr>
                  <w:tcW w:w="629" w:type="dxa"/>
                  <w:tcBorders>
                    <w:top w:val="single" w:color="auto" w:sz="4" w:space="0"/>
                    <w:left w:val="single" w:color="auto" w:sz="4" w:space="0"/>
                    <w:bottom w:val="single" w:color="auto" w:sz="4" w:space="0"/>
                    <w:right w:val="single" w:color="auto" w:sz="4" w:space="0"/>
                  </w:tcBorders>
                  <w:vAlign w:val="center"/>
                </w:tcPr>
                <w:p w14:paraId="11E4F20E">
                  <w:pPr>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olor w:val="auto"/>
                      <w:sz w:val="15"/>
                      <w:szCs w:val="15"/>
                    </w:rPr>
                  </w:pPr>
                  <w:r>
                    <w:rPr>
                      <w:rFonts w:hint="eastAsia" w:asciiTheme="minorEastAsia" w:hAnsiTheme="minorEastAsia" w:eastAsiaTheme="minorEastAsia"/>
                      <w:color w:val="auto"/>
                      <w:sz w:val="15"/>
                      <w:szCs w:val="15"/>
                    </w:rPr>
                    <w:t>/</w:t>
                  </w:r>
                </w:p>
              </w:tc>
            </w:tr>
          </w:tbl>
          <w:p w14:paraId="59BC91C8">
            <w:pPr>
              <w:keepNext w:val="0"/>
              <w:keepLines w:val="0"/>
              <w:widowControl/>
              <w:suppressLineNumbers w:val="0"/>
              <w:spacing w:before="240" w:beforeLines="100" w:beforeAutospacing="0" w:after="0" w:afterAutospacing="0" w:line="360" w:lineRule="auto"/>
              <w:ind w:left="0" w:right="0" w:firstLine="420" w:firstLineChars="200"/>
              <w:jc w:val="left"/>
              <w:rPr>
                <w:rFonts w:hint="default" w:eastAsia="黑体"/>
                <w:color w:val="auto"/>
                <w:sz w:val="30"/>
              </w:rPr>
            </w:pPr>
            <w:r>
              <w:rPr>
                <w:rFonts w:hint="eastAsia" w:ascii="宋体" w:hAnsi="宋体"/>
                <w:color w:val="auto"/>
                <w:kern w:val="0"/>
              </w:rPr>
              <w:t>本项目建设符合“三线一单”管控机制要求，项目建设可行。</w:t>
            </w:r>
          </w:p>
        </w:tc>
      </w:tr>
    </w:tbl>
    <w:p w14:paraId="05B674A8">
      <w:pPr>
        <w:widowControl/>
        <w:spacing w:line="360" w:lineRule="auto"/>
        <w:jc w:val="left"/>
        <w:rPr>
          <w:rFonts w:eastAsia="黑体"/>
          <w:color w:val="auto"/>
          <w:sz w:val="30"/>
        </w:rPr>
        <w:sectPr>
          <w:pgSz w:w="16838" w:h="11906" w:orient="landscape"/>
          <w:pgMar w:top="1531" w:right="1701" w:bottom="1531" w:left="1701" w:header="851" w:footer="1077" w:gutter="0"/>
          <w:pgNumType w:fmt="numberInDash" w:start="5"/>
          <w:cols w:space="720" w:num="1"/>
          <w:docGrid w:linePitch="286" w:charSpace="0"/>
        </w:sectPr>
      </w:pPr>
    </w:p>
    <w:tbl>
      <w:tblPr>
        <w:tblStyle w:val="1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7"/>
        <w:gridCol w:w="6672"/>
      </w:tblGrid>
      <w:tr w14:paraId="4D235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5" w:hRule="atLeast"/>
        </w:trPr>
        <w:tc>
          <w:tcPr>
            <w:tcW w:w="2187" w:type="dxa"/>
          </w:tcPr>
          <w:p w14:paraId="6F180F2D">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E3A203B">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D2BD879">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68C2C2C">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CE838DA">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222D15A">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CF2CBA2">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48C73267">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4F1BB3D7">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17F9290A">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75534E70">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FD78D42">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72584E42">
            <w:pPr>
              <w:pStyle w:val="4"/>
              <w:keepNext w:val="0"/>
              <w:keepLines w:val="0"/>
              <w:suppressLineNumbers w:val="0"/>
              <w:spacing w:before="0" w:beforeAutospacing="0" w:after="0" w:afterAutospacing="0"/>
              <w:ind w:left="0" w:right="0"/>
              <w:jc w:val="center"/>
              <w:rPr>
                <w:rFonts w:hint="default" w:cs="宋体"/>
                <w:color w:val="auto"/>
                <w:kern w:val="0"/>
                <w:sz w:val="21"/>
                <w:szCs w:val="21"/>
              </w:rPr>
            </w:pPr>
            <w:r>
              <w:rPr>
                <w:rFonts w:hint="eastAsia" w:cs="宋体"/>
                <w:color w:val="auto"/>
                <w:kern w:val="0"/>
                <w:sz w:val="21"/>
                <w:szCs w:val="21"/>
              </w:rPr>
              <w:t>其他符合性分析</w:t>
            </w:r>
          </w:p>
          <w:p w14:paraId="09444C5F">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7C5A0E76">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371DFBB">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7C1D9E0">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7955168A">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3EA175E">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45EFA0B9">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F5716E8">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DFFF678">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197A236">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157A0F05">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BC52EBF">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47DE9605">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3FDB3874">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7A56A260">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D6987A3">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0BC5E40">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1A99315F">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709057B0">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1D01D76A">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7A2BAF89">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51BE3B1">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ADF63CF">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7E6F880A">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C7BD86B">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3C0C3805">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1FDAFA9E">
            <w:pPr>
              <w:pStyle w:val="4"/>
              <w:keepNext w:val="0"/>
              <w:keepLines w:val="0"/>
              <w:suppressLineNumbers w:val="0"/>
              <w:spacing w:before="0" w:beforeAutospacing="0" w:after="0" w:afterAutospacing="0"/>
              <w:ind w:left="0" w:right="0"/>
              <w:jc w:val="center"/>
              <w:rPr>
                <w:rFonts w:hint="default" w:cs="宋体"/>
                <w:color w:val="auto"/>
                <w:kern w:val="0"/>
                <w:sz w:val="21"/>
                <w:szCs w:val="21"/>
              </w:rPr>
            </w:pPr>
            <w:r>
              <w:rPr>
                <w:rFonts w:hint="eastAsia" w:cs="宋体"/>
                <w:color w:val="auto"/>
                <w:kern w:val="0"/>
                <w:sz w:val="21"/>
                <w:szCs w:val="21"/>
              </w:rPr>
              <w:t>其他符合性分析</w:t>
            </w:r>
          </w:p>
          <w:p w14:paraId="4BA11474">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F0E3F46">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4A00DB5D">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8122E1D">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2D20049">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7C6F80F">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33F1B956">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7410B9B3">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8F289B2">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74355BE5">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7F636D6B">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8ECAE82">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DA03981">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13790AB6">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8356FEB">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33C25E8C">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7F7FEEC7">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AE22252">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EC5DC36">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EAFE127">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1E9EB543">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9BE3761">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3EBD0E26">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3D81899">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4E76330C">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3552CDD3">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1C7978FD">
            <w:pPr>
              <w:pStyle w:val="4"/>
              <w:keepNext w:val="0"/>
              <w:keepLines w:val="0"/>
              <w:suppressLineNumbers w:val="0"/>
              <w:spacing w:before="0" w:beforeAutospacing="0" w:after="0" w:afterAutospacing="0"/>
              <w:ind w:left="0" w:right="0"/>
              <w:jc w:val="center"/>
              <w:rPr>
                <w:rFonts w:hint="default" w:cs="宋体"/>
                <w:color w:val="auto"/>
                <w:kern w:val="0"/>
                <w:sz w:val="21"/>
                <w:szCs w:val="21"/>
              </w:rPr>
            </w:pPr>
            <w:r>
              <w:rPr>
                <w:rFonts w:hint="eastAsia" w:cs="宋体"/>
                <w:color w:val="auto"/>
                <w:kern w:val="0"/>
                <w:sz w:val="21"/>
                <w:szCs w:val="21"/>
              </w:rPr>
              <w:t>其他符合性分析</w:t>
            </w:r>
          </w:p>
          <w:p w14:paraId="232A8565">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72EB244F">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6D08418">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60B11FE">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7AAB6A5B">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29145BA">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10C76F9">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1A7E9D8">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3104315F">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09A5978">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904EAFD">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AFC4E34">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FD45C3A">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49D3DF9C">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7DFB51E">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3D73C44">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4C62A9D6">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4EC4CC0C">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A6296EF">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42BEE364">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6468709">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66A42A9">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DD24789">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1C791659">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22A531E">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10F319EA">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CD86203">
            <w:pPr>
              <w:pStyle w:val="4"/>
              <w:keepNext w:val="0"/>
              <w:keepLines w:val="0"/>
              <w:suppressLineNumbers w:val="0"/>
              <w:spacing w:before="0" w:beforeAutospacing="0" w:after="0" w:afterAutospacing="0"/>
              <w:ind w:left="0" w:right="0"/>
              <w:jc w:val="center"/>
              <w:rPr>
                <w:rFonts w:hint="default" w:cs="宋体"/>
                <w:color w:val="auto"/>
                <w:kern w:val="0"/>
                <w:sz w:val="21"/>
                <w:szCs w:val="21"/>
              </w:rPr>
            </w:pPr>
            <w:r>
              <w:rPr>
                <w:rFonts w:hint="eastAsia" w:cs="宋体"/>
                <w:color w:val="auto"/>
                <w:kern w:val="0"/>
                <w:sz w:val="21"/>
                <w:szCs w:val="21"/>
              </w:rPr>
              <w:t>其他符合性分析</w:t>
            </w:r>
          </w:p>
          <w:p w14:paraId="0EF4400C">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7C5C617B">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35108DF">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06891917">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3D482450">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05AC474">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FB722BF">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E0ADE61">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3013FA3">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2EECE616">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CDAC45B">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61D47DDA">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7CF33DE1">
            <w:pPr>
              <w:pStyle w:val="4"/>
              <w:keepNext w:val="0"/>
              <w:keepLines w:val="0"/>
              <w:suppressLineNumbers w:val="0"/>
              <w:spacing w:before="0" w:beforeAutospacing="0" w:after="0" w:afterAutospacing="0"/>
              <w:ind w:left="0" w:right="0"/>
              <w:jc w:val="center"/>
              <w:rPr>
                <w:rFonts w:hint="default" w:cs="宋体"/>
                <w:color w:val="auto"/>
                <w:kern w:val="0"/>
                <w:sz w:val="21"/>
                <w:szCs w:val="21"/>
              </w:rPr>
            </w:pPr>
          </w:p>
          <w:p w14:paraId="5F1FA3FE">
            <w:pPr>
              <w:keepNext w:val="0"/>
              <w:keepLines w:val="0"/>
              <w:widowControl/>
              <w:suppressLineNumbers w:val="0"/>
              <w:spacing w:before="0" w:beforeAutospacing="0" w:after="0" w:afterAutospacing="0" w:line="360" w:lineRule="auto"/>
              <w:ind w:left="0" w:right="0"/>
              <w:jc w:val="left"/>
              <w:rPr>
                <w:rFonts w:hint="default" w:eastAsia="黑体"/>
                <w:color w:val="auto"/>
                <w:sz w:val="30"/>
              </w:rPr>
            </w:pPr>
          </w:p>
        </w:tc>
        <w:tc>
          <w:tcPr>
            <w:tcW w:w="6672" w:type="dxa"/>
          </w:tcPr>
          <w:p w14:paraId="1DDCCF26">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黑体" w:hAnsi="黑体" w:eastAsia="黑体" w:cs="宋体"/>
                <w:bCs/>
                <w:color w:val="auto"/>
                <w:kern w:val="0"/>
                <w:sz w:val="20"/>
                <w:szCs w:val="21"/>
              </w:rPr>
            </w:pPr>
            <w:r>
              <w:rPr>
                <w:rFonts w:hint="default" w:eastAsia="黑体"/>
                <w:color w:val="auto"/>
                <w:kern w:val="0"/>
              </w:rPr>
              <w:t>3</w:t>
            </w:r>
            <w:r>
              <w:rPr>
                <w:rFonts w:hint="eastAsia" w:ascii="黑体" w:hAnsi="黑体" w:eastAsia="黑体" w:cs="宋体"/>
                <w:bCs/>
                <w:color w:val="auto"/>
                <w:szCs w:val="21"/>
              </w:rPr>
              <w:t>、与《四川省、重庆市长江经济带发展负面清单实施细则(试行，2022年版）》的符合性分析</w:t>
            </w:r>
          </w:p>
          <w:p w14:paraId="16901C93">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 w:val="20"/>
                <w:szCs w:val="21"/>
              </w:rPr>
            </w:pPr>
            <w:r>
              <w:rPr>
                <w:rFonts w:hint="eastAsia"/>
                <w:bCs/>
                <w:color w:val="auto"/>
                <w:szCs w:val="21"/>
              </w:rPr>
              <w:t>四川省推动长江经济带发展领导小组办公室、重庆市推动长江经济带发展领导小组办公室于2022年8月25日，发布了《关于印发</w:t>
            </w:r>
            <w:r>
              <w:rPr>
                <w:rFonts w:hint="eastAsia" w:ascii="宋体" w:hAnsi="宋体" w:cs="宋体"/>
                <w:bCs/>
                <w:color w:val="auto"/>
                <w:szCs w:val="21"/>
              </w:rPr>
              <w:t>&lt;</w:t>
            </w:r>
            <w:r>
              <w:rPr>
                <w:rFonts w:hint="eastAsia"/>
                <w:bCs/>
                <w:color w:val="auto"/>
                <w:szCs w:val="21"/>
              </w:rPr>
              <w:t>四川省、重庆市长江经济带发展负面清单实施细则(试行，2022年版）</w:t>
            </w:r>
            <w:r>
              <w:rPr>
                <w:rFonts w:hint="eastAsia" w:ascii="宋体" w:hAnsi="宋体" w:cs="宋体"/>
                <w:bCs/>
                <w:color w:val="auto"/>
                <w:szCs w:val="21"/>
              </w:rPr>
              <w:t>&gt;的通知</w:t>
            </w:r>
            <w:r>
              <w:rPr>
                <w:rFonts w:hint="eastAsia"/>
                <w:bCs/>
                <w:color w:val="auto"/>
                <w:szCs w:val="21"/>
              </w:rPr>
              <w:t>》（川长江办</w:t>
            </w:r>
            <w:r>
              <w:rPr>
                <w:rFonts w:hint="eastAsia" w:ascii="微软雅黑" w:hAnsi="微软雅黑" w:eastAsia="微软雅黑" w:cs="微软雅黑"/>
                <w:bCs/>
                <w:color w:val="auto"/>
                <w:szCs w:val="21"/>
              </w:rPr>
              <w:t>〔2022〕17号</w:t>
            </w:r>
            <w:r>
              <w:rPr>
                <w:rFonts w:hint="eastAsia"/>
                <w:bCs/>
                <w:color w:val="auto"/>
                <w:szCs w:val="21"/>
              </w:rPr>
              <w:t>）。本项目与《四川省、重庆市长江经济带发展负面清单实施细则(试行，2022年版）》的符合性分析见下表</w:t>
            </w:r>
            <w:r>
              <w:rPr>
                <w:rFonts w:hint="eastAsia" w:cs="宋体"/>
                <w:color w:val="auto"/>
                <w:kern w:val="0"/>
                <w:sz w:val="20"/>
                <w:szCs w:val="21"/>
              </w:rPr>
              <w:t>。</w:t>
            </w:r>
          </w:p>
          <w:p w14:paraId="744B666F">
            <w:pPr>
              <w:keepNext w:val="0"/>
              <w:keepLines w:val="0"/>
              <w:suppressLineNumbers w:val="0"/>
              <w:adjustRightInd w:val="0"/>
              <w:snapToGrid w:val="0"/>
              <w:spacing w:before="0" w:beforeAutospacing="0" w:after="0" w:afterAutospacing="0" w:line="400" w:lineRule="exact"/>
              <w:ind w:left="-53" w:leftChars="-25" w:right="-53" w:rightChars="-25" w:firstLine="400" w:firstLineChars="200"/>
              <w:jc w:val="left"/>
              <w:rPr>
                <w:rFonts w:hint="default" w:eastAsia="黑体"/>
                <w:bCs/>
                <w:color w:val="auto"/>
                <w:kern w:val="0"/>
                <w:sz w:val="20"/>
                <w:szCs w:val="21"/>
              </w:rPr>
            </w:pPr>
            <w:r>
              <w:rPr>
                <w:rFonts w:hint="eastAsia" w:cs="宋体"/>
                <w:color w:val="auto"/>
                <w:kern w:val="0"/>
                <w:sz w:val="20"/>
                <w:szCs w:val="21"/>
              </w:rPr>
              <w:t>本项目与长江保护法及嘉陵江流域保护条例的符合性分析见下表。</w:t>
            </w:r>
          </w:p>
          <w:p w14:paraId="6423F6E1">
            <w:pPr>
              <w:keepNext w:val="0"/>
              <w:keepLines w:val="0"/>
              <w:suppressLineNumbers w:val="0"/>
              <w:adjustRightInd w:val="0"/>
              <w:snapToGrid w:val="0"/>
              <w:spacing w:before="0" w:beforeAutospacing="0" w:after="0" w:afterAutospacing="0" w:line="400" w:lineRule="exact"/>
              <w:ind w:left="0" w:right="0"/>
              <w:jc w:val="center"/>
              <w:rPr>
                <w:rFonts w:hint="default" w:eastAsia="黑体"/>
                <w:bCs/>
                <w:color w:val="auto"/>
                <w:kern w:val="0"/>
                <w:sz w:val="20"/>
                <w:szCs w:val="21"/>
              </w:rPr>
            </w:pPr>
            <w:r>
              <w:rPr>
                <w:rFonts w:hint="default"/>
                <w:b/>
                <w:bCs/>
                <w:color w:val="auto"/>
                <w:kern w:val="0"/>
                <w:sz w:val="18"/>
                <w:szCs w:val="18"/>
              </w:rPr>
              <w:t>表</w:t>
            </w:r>
            <w:r>
              <w:rPr>
                <w:rFonts w:hint="eastAsia"/>
                <w:b/>
                <w:bCs/>
                <w:color w:val="auto"/>
                <w:kern w:val="0"/>
                <w:sz w:val="18"/>
                <w:szCs w:val="18"/>
              </w:rPr>
              <w:t xml:space="preserve">1-3  </w:t>
            </w:r>
            <w:r>
              <w:rPr>
                <w:rFonts w:hint="eastAsia"/>
                <w:b/>
                <w:color w:val="auto"/>
                <w:spacing w:val="-20"/>
                <w:sz w:val="18"/>
                <w:szCs w:val="18"/>
              </w:rPr>
              <w:t>项目与四川省、重庆市长江经济带发展负面清单实施细则(试行，2022年版）的符合性分</w:t>
            </w:r>
            <w:r>
              <w:rPr>
                <w:rFonts w:hint="eastAsia"/>
                <w:b/>
                <w:bCs/>
                <w:color w:val="auto"/>
                <w:spacing w:val="-20"/>
                <w:kern w:val="0"/>
                <w:sz w:val="18"/>
                <w:szCs w:val="18"/>
              </w:rPr>
              <w:t>析</w:t>
            </w:r>
          </w:p>
          <w:tbl>
            <w:tblPr>
              <w:tblStyle w:val="13"/>
              <w:tblW w:w="6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2"/>
              <w:gridCol w:w="3296"/>
              <w:gridCol w:w="2285"/>
              <w:gridCol w:w="526"/>
            </w:tblGrid>
            <w:tr w14:paraId="0606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blHeader/>
                <w:jc w:val="center"/>
              </w:trPr>
              <w:tc>
                <w:tcPr>
                  <w:tcW w:w="432" w:type="dxa"/>
                  <w:tcBorders>
                    <w:bottom w:val="single" w:color="000000" w:sz="4" w:space="0"/>
                  </w:tcBorders>
                  <w:vAlign w:val="center"/>
                </w:tcPr>
                <w:p w14:paraId="2E62A96F">
                  <w:pPr>
                    <w:keepNext w:val="0"/>
                    <w:keepLines w:val="0"/>
                    <w:suppressLineNumbers w:val="0"/>
                    <w:adjustRightInd w:val="0"/>
                    <w:snapToGrid w:val="0"/>
                    <w:spacing w:before="0" w:beforeAutospacing="0" w:after="0" w:afterAutospacing="0" w:line="260" w:lineRule="exact"/>
                    <w:ind w:left="0" w:right="0"/>
                    <w:jc w:val="center"/>
                    <w:rPr>
                      <w:rFonts w:hint="default"/>
                      <w:b/>
                      <w:color w:val="auto"/>
                      <w:sz w:val="15"/>
                      <w:szCs w:val="15"/>
                    </w:rPr>
                  </w:pPr>
                  <w:r>
                    <w:rPr>
                      <w:rFonts w:hint="default"/>
                      <w:b/>
                      <w:color w:val="auto"/>
                      <w:sz w:val="15"/>
                      <w:szCs w:val="15"/>
                    </w:rPr>
                    <w:t>序号</w:t>
                  </w:r>
                </w:p>
              </w:tc>
              <w:tc>
                <w:tcPr>
                  <w:tcW w:w="3296" w:type="dxa"/>
                  <w:tcBorders>
                    <w:bottom w:val="single" w:color="000000" w:sz="4" w:space="0"/>
                  </w:tcBorders>
                  <w:vAlign w:val="center"/>
                </w:tcPr>
                <w:p w14:paraId="3515D9EE">
                  <w:pPr>
                    <w:keepNext w:val="0"/>
                    <w:keepLines w:val="0"/>
                    <w:suppressLineNumbers w:val="0"/>
                    <w:adjustRightInd w:val="0"/>
                    <w:snapToGrid w:val="0"/>
                    <w:spacing w:before="0" w:beforeAutospacing="0" w:after="0" w:afterAutospacing="0" w:line="260" w:lineRule="exact"/>
                    <w:ind w:left="0" w:right="0"/>
                    <w:jc w:val="center"/>
                    <w:rPr>
                      <w:rFonts w:hint="default"/>
                      <w:b/>
                      <w:color w:val="auto"/>
                      <w:sz w:val="15"/>
                      <w:szCs w:val="15"/>
                    </w:rPr>
                  </w:pPr>
                  <w:r>
                    <w:rPr>
                      <w:rFonts w:hint="default"/>
                      <w:b/>
                      <w:color w:val="auto"/>
                      <w:sz w:val="15"/>
                      <w:szCs w:val="15"/>
                    </w:rPr>
                    <w:t>《负面清单》原文内容</w:t>
                  </w:r>
                </w:p>
              </w:tc>
              <w:tc>
                <w:tcPr>
                  <w:tcW w:w="2285" w:type="dxa"/>
                  <w:tcBorders>
                    <w:bottom w:val="single" w:color="000000" w:sz="4" w:space="0"/>
                  </w:tcBorders>
                  <w:vAlign w:val="center"/>
                </w:tcPr>
                <w:p w14:paraId="065D149F">
                  <w:pPr>
                    <w:keepNext w:val="0"/>
                    <w:keepLines w:val="0"/>
                    <w:suppressLineNumbers w:val="0"/>
                    <w:adjustRightInd w:val="0"/>
                    <w:snapToGrid w:val="0"/>
                    <w:spacing w:before="0" w:beforeAutospacing="0" w:after="0" w:afterAutospacing="0" w:line="260" w:lineRule="exact"/>
                    <w:ind w:left="0" w:right="0"/>
                    <w:jc w:val="center"/>
                    <w:rPr>
                      <w:rFonts w:hint="default"/>
                      <w:b/>
                      <w:color w:val="auto"/>
                      <w:sz w:val="15"/>
                      <w:szCs w:val="15"/>
                    </w:rPr>
                  </w:pPr>
                  <w:r>
                    <w:rPr>
                      <w:rFonts w:hint="default"/>
                      <w:b/>
                      <w:color w:val="auto"/>
                      <w:sz w:val="15"/>
                      <w:szCs w:val="15"/>
                    </w:rPr>
                    <w:t>本项目情况</w:t>
                  </w:r>
                </w:p>
              </w:tc>
              <w:tc>
                <w:tcPr>
                  <w:tcW w:w="526" w:type="dxa"/>
                  <w:tcBorders>
                    <w:bottom w:val="single" w:color="000000" w:sz="4" w:space="0"/>
                  </w:tcBorders>
                  <w:vAlign w:val="center"/>
                </w:tcPr>
                <w:p w14:paraId="2F274EBF">
                  <w:pPr>
                    <w:keepNext w:val="0"/>
                    <w:keepLines w:val="0"/>
                    <w:suppressLineNumbers w:val="0"/>
                    <w:adjustRightInd w:val="0"/>
                    <w:snapToGrid w:val="0"/>
                    <w:spacing w:before="0" w:beforeAutospacing="0" w:after="0" w:afterAutospacing="0" w:line="260" w:lineRule="exact"/>
                    <w:ind w:left="0" w:right="0"/>
                    <w:jc w:val="center"/>
                    <w:rPr>
                      <w:rFonts w:hint="default"/>
                      <w:b/>
                      <w:color w:val="auto"/>
                      <w:sz w:val="15"/>
                      <w:szCs w:val="15"/>
                    </w:rPr>
                  </w:pPr>
                  <w:r>
                    <w:rPr>
                      <w:rFonts w:hint="default"/>
                      <w:b/>
                      <w:color w:val="auto"/>
                      <w:sz w:val="15"/>
                      <w:szCs w:val="15"/>
                    </w:rPr>
                    <w:t>符合性</w:t>
                  </w:r>
                </w:p>
              </w:tc>
            </w:tr>
            <w:tr w14:paraId="5A12B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0" w:hRule="atLeast"/>
                <w:tblHeader/>
                <w:jc w:val="center"/>
              </w:trPr>
              <w:tc>
                <w:tcPr>
                  <w:tcW w:w="432" w:type="dxa"/>
                  <w:tcBorders>
                    <w:top w:val="single" w:color="000000" w:sz="4" w:space="0"/>
                  </w:tcBorders>
                  <w:vAlign w:val="center"/>
                </w:tcPr>
                <w:p w14:paraId="22D615A4">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eastAsia"/>
                      <w:color w:val="auto"/>
                      <w:sz w:val="15"/>
                      <w:szCs w:val="15"/>
                    </w:rPr>
                    <w:t>1</w:t>
                  </w:r>
                </w:p>
              </w:tc>
              <w:tc>
                <w:tcPr>
                  <w:tcW w:w="3296" w:type="dxa"/>
                  <w:tcBorders>
                    <w:top w:val="single" w:color="000000" w:sz="4" w:space="0"/>
                  </w:tcBorders>
                  <w:vAlign w:val="center"/>
                </w:tcPr>
                <w:p w14:paraId="45F8BEF6">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eastAsia" w:ascii="Times New Roman" w:hAnsi="Times New Roman" w:cs="Times New Roman"/>
                      <w:color w:val="auto"/>
                      <w:sz w:val="15"/>
                      <w:szCs w:val="15"/>
                    </w:rPr>
                    <w:t>第七条 禁止在自然保护区核心区、缓冲区的岸线和河段范围内投资建设旅游和生产经营项目。自然保护区的内部未分区的，依照核心区和缓冲区的规定管控。</w:t>
                  </w:r>
                </w:p>
              </w:tc>
              <w:tc>
                <w:tcPr>
                  <w:tcW w:w="2285" w:type="dxa"/>
                  <w:tcBorders>
                    <w:top w:val="single" w:color="000000" w:sz="4" w:space="0"/>
                  </w:tcBorders>
                  <w:vAlign w:val="center"/>
                </w:tcPr>
                <w:p w14:paraId="2C796EFE">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default" w:cs="Times New Roman"/>
                      <w:color w:val="auto"/>
                      <w:sz w:val="15"/>
                      <w:szCs w:val="15"/>
                    </w:rPr>
                    <w:t>本项目</w:t>
                  </w:r>
                  <w:r>
                    <w:rPr>
                      <w:rFonts w:hint="eastAsia" w:cs="Times New Roman"/>
                      <w:color w:val="auto"/>
                      <w:sz w:val="15"/>
                      <w:szCs w:val="15"/>
                    </w:rPr>
                    <w:t>位于通川区罗江镇高石社区，建设区域不属于自然保护区等生态敏感区。</w:t>
                  </w:r>
                </w:p>
              </w:tc>
              <w:tc>
                <w:tcPr>
                  <w:tcW w:w="526" w:type="dxa"/>
                  <w:tcBorders>
                    <w:top w:val="single" w:color="000000" w:sz="4" w:space="0"/>
                  </w:tcBorders>
                  <w:vAlign w:val="center"/>
                </w:tcPr>
                <w:p w14:paraId="42295E00">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default"/>
                      <w:color w:val="auto"/>
                      <w:sz w:val="15"/>
                      <w:szCs w:val="15"/>
                    </w:rPr>
                    <w:t>符合</w:t>
                  </w:r>
                </w:p>
              </w:tc>
            </w:tr>
            <w:tr w14:paraId="2C52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6" w:hRule="atLeast"/>
                <w:tblHeader/>
                <w:jc w:val="center"/>
              </w:trPr>
              <w:tc>
                <w:tcPr>
                  <w:tcW w:w="432" w:type="dxa"/>
                  <w:vAlign w:val="center"/>
                </w:tcPr>
                <w:p w14:paraId="599F337B">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eastAsia"/>
                      <w:color w:val="auto"/>
                      <w:sz w:val="15"/>
                      <w:szCs w:val="15"/>
                    </w:rPr>
                    <w:t>2</w:t>
                  </w:r>
                </w:p>
              </w:tc>
              <w:tc>
                <w:tcPr>
                  <w:tcW w:w="3296" w:type="dxa"/>
                  <w:vAlign w:val="center"/>
                </w:tcPr>
                <w:p w14:paraId="26B0DC01">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eastAsia" w:ascii="Times New Roman" w:hAnsi="Times New Roman" w:cs="Times New Roman"/>
                      <w:color w:val="auto"/>
                      <w:sz w:val="15"/>
                      <w:szCs w:val="15"/>
                    </w:rPr>
                    <w:t>第九条 禁止在饮用水水源准保护区的岸线和河段范围内新建、扩建对水体污染严重的建设项目，禁止改建增加排污量的建设项目。</w:t>
                  </w:r>
                </w:p>
              </w:tc>
              <w:tc>
                <w:tcPr>
                  <w:tcW w:w="2285" w:type="dxa"/>
                  <w:vAlign w:val="center"/>
                </w:tcPr>
                <w:p w14:paraId="2014A3EE">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default" w:cs="Times New Roman"/>
                      <w:color w:val="auto"/>
                      <w:sz w:val="15"/>
                      <w:szCs w:val="15"/>
                    </w:rPr>
                    <w:t>本项目与</w:t>
                  </w:r>
                  <w:r>
                    <w:rPr>
                      <w:rFonts w:hint="eastAsia" w:cs="Times New Roman"/>
                      <w:color w:val="auto"/>
                      <w:sz w:val="15"/>
                      <w:szCs w:val="15"/>
                    </w:rPr>
                    <w:t>东面魏家河相距280m，与南面州河相距470m，</w:t>
                  </w:r>
                  <w:r>
                    <w:rPr>
                      <w:rFonts w:hint="eastAsia" w:cs="Times New Roman"/>
                      <w:color w:val="auto"/>
                      <w:sz w:val="15"/>
                      <w:szCs w:val="15"/>
                      <w:highlight w:val="none"/>
                    </w:rPr>
                    <w:t>建设区域不属于饮用水源保护区范围。</w:t>
                  </w:r>
                </w:p>
              </w:tc>
              <w:tc>
                <w:tcPr>
                  <w:tcW w:w="526" w:type="dxa"/>
                  <w:vAlign w:val="center"/>
                </w:tcPr>
                <w:p w14:paraId="68F2125C">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default"/>
                      <w:color w:val="auto"/>
                      <w:sz w:val="15"/>
                      <w:szCs w:val="15"/>
                    </w:rPr>
                    <w:t>符合</w:t>
                  </w:r>
                </w:p>
              </w:tc>
            </w:tr>
            <w:tr w14:paraId="0A64E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6" w:hRule="atLeast"/>
                <w:tblHeader/>
                <w:jc w:val="center"/>
              </w:trPr>
              <w:tc>
                <w:tcPr>
                  <w:tcW w:w="432" w:type="dxa"/>
                  <w:vAlign w:val="center"/>
                </w:tcPr>
                <w:p w14:paraId="4ECF3BD9">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eastAsia"/>
                      <w:color w:val="auto"/>
                      <w:sz w:val="15"/>
                      <w:szCs w:val="15"/>
                    </w:rPr>
                    <w:t>3</w:t>
                  </w:r>
                </w:p>
              </w:tc>
              <w:tc>
                <w:tcPr>
                  <w:tcW w:w="3296" w:type="dxa"/>
                  <w:vAlign w:val="center"/>
                </w:tcPr>
                <w:p w14:paraId="0295D0C1">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eastAsia" w:ascii="Times New Roman" w:hAnsi="Times New Roman" w:cs="Times New Roman"/>
                      <w:color w:val="auto"/>
                      <w:sz w:val="15"/>
                      <w:szCs w:val="15"/>
                    </w:rPr>
                    <w:t>第十八条 禁止在长江干支流、重要湖泊岸线一公里范围内新建、扩建化工园区和化工项目。</w:t>
                  </w:r>
                </w:p>
              </w:tc>
              <w:tc>
                <w:tcPr>
                  <w:tcW w:w="2285" w:type="dxa"/>
                  <w:vAlign w:val="center"/>
                </w:tcPr>
                <w:p w14:paraId="4AE19587">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default" w:cs="Times New Roman"/>
                      <w:color w:val="auto"/>
                      <w:sz w:val="15"/>
                      <w:szCs w:val="15"/>
                    </w:rPr>
                    <w:t>本项目</w:t>
                  </w:r>
                  <w:r>
                    <w:rPr>
                      <w:rFonts w:hint="eastAsia" w:cs="Times New Roman"/>
                      <w:color w:val="auto"/>
                      <w:sz w:val="15"/>
                      <w:szCs w:val="15"/>
                    </w:rPr>
                    <w:t>不属于化工项目</w:t>
                  </w:r>
                </w:p>
              </w:tc>
              <w:tc>
                <w:tcPr>
                  <w:tcW w:w="526" w:type="dxa"/>
                  <w:vAlign w:val="center"/>
                </w:tcPr>
                <w:p w14:paraId="549B5ED6">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default"/>
                      <w:color w:val="auto"/>
                      <w:sz w:val="15"/>
                      <w:szCs w:val="15"/>
                    </w:rPr>
                    <w:t>符合</w:t>
                  </w:r>
                </w:p>
              </w:tc>
            </w:tr>
            <w:tr w14:paraId="183C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3" w:hRule="atLeast"/>
                <w:tblHeader/>
                <w:jc w:val="center"/>
              </w:trPr>
              <w:tc>
                <w:tcPr>
                  <w:tcW w:w="432" w:type="dxa"/>
                  <w:vAlign w:val="center"/>
                </w:tcPr>
                <w:p w14:paraId="361E5299">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eastAsia"/>
                      <w:color w:val="auto"/>
                      <w:sz w:val="15"/>
                      <w:szCs w:val="15"/>
                    </w:rPr>
                    <w:t>4</w:t>
                  </w:r>
                </w:p>
              </w:tc>
              <w:tc>
                <w:tcPr>
                  <w:tcW w:w="3296" w:type="dxa"/>
                  <w:vAlign w:val="center"/>
                </w:tcPr>
                <w:p w14:paraId="362E306B">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eastAsia" w:ascii="Times New Roman" w:hAnsi="Times New Roman" w:cs="Times New Roman"/>
                      <w:color w:val="auto"/>
                      <w:sz w:val="15"/>
                      <w:szCs w:val="15"/>
                    </w:rPr>
                    <w:t>第十九条 禁止在长江干流岸线三公里范围内和重要支流岸线一公里范围内新建、改建、扩建尾矿库、冶炼渣库、磷石膏库，以提升安全、生态环境保护水平为目的的改建除外。</w:t>
                  </w:r>
                </w:p>
              </w:tc>
              <w:tc>
                <w:tcPr>
                  <w:tcW w:w="2285" w:type="dxa"/>
                </w:tcPr>
                <w:p w14:paraId="3AC55214">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default" w:cs="Times New Roman"/>
                      <w:color w:val="auto"/>
                      <w:sz w:val="15"/>
                      <w:szCs w:val="15"/>
                    </w:rPr>
                    <w:t>本项目</w:t>
                  </w:r>
                  <w:r>
                    <w:rPr>
                      <w:rFonts w:hint="eastAsia" w:cs="Times New Roman"/>
                      <w:color w:val="auto"/>
                      <w:sz w:val="15"/>
                      <w:szCs w:val="15"/>
                    </w:rPr>
                    <w:t>为医院建设项目，不涉及建设</w:t>
                  </w:r>
                  <w:r>
                    <w:rPr>
                      <w:rFonts w:hint="eastAsia" w:ascii="Times New Roman" w:hAnsi="Times New Roman" w:cs="Times New Roman"/>
                      <w:color w:val="auto"/>
                      <w:sz w:val="15"/>
                      <w:szCs w:val="15"/>
                    </w:rPr>
                    <w:t>尾矿库、冶炼渣库、磷石膏库等</w:t>
                  </w:r>
                </w:p>
              </w:tc>
              <w:tc>
                <w:tcPr>
                  <w:tcW w:w="526" w:type="dxa"/>
                  <w:vAlign w:val="center"/>
                </w:tcPr>
                <w:p w14:paraId="7A8D3E40">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default"/>
                      <w:color w:val="auto"/>
                      <w:sz w:val="15"/>
                      <w:szCs w:val="15"/>
                    </w:rPr>
                    <w:t>符合</w:t>
                  </w:r>
                </w:p>
              </w:tc>
            </w:tr>
            <w:tr w14:paraId="5317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blHeader/>
                <w:jc w:val="center"/>
              </w:trPr>
              <w:tc>
                <w:tcPr>
                  <w:tcW w:w="432" w:type="dxa"/>
                  <w:vAlign w:val="center"/>
                </w:tcPr>
                <w:p w14:paraId="36ABFD9E">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eastAsia"/>
                      <w:color w:val="auto"/>
                      <w:sz w:val="15"/>
                      <w:szCs w:val="15"/>
                    </w:rPr>
                    <w:t>5</w:t>
                  </w:r>
                </w:p>
              </w:tc>
              <w:tc>
                <w:tcPr>
                  <w:tcW w:w="3296" w:type="dxa"/>
                  <w:vAlign w:val="center"/>
                </w:tcPr>
                <w:p w14:paraId="5F07D67B">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eastAsia" w:ascii="Times New Roman" w:hAnsi="Times New Roman" w:cs="Times New Roman"/>
                      <w:color w:val="auto"/>
                      <w:sz w:val="15"/>
                      <w:szCs w:val="15"/>
                    </w:rPr>
                    <w:t>第二十一条禁止在合规园区外新建、扩建钢铁、石化、化工、焦化、建材、有色、制浆造纸等高污染项目。</w:t>
                  </w:r>
                </w:p>
              </w:tc>
              <w:tc>
                <w:tcPr>
                  <w:tcW w:w="2285" w:type="dxa"/>
                </w:tcPr>
                <w:p w14:paraId="560361E7">
                  <w:pPr>
                    <w:pStyle w:val="12"/>
                    <w:keepNext/>
                    <w:keepLines/>
                    <w:widowControl w:val="0"/>
                    <w:suppressLineNumbers w:val="0"/>
                    <w:autoSpaceDE w:val="0"/>
                    <w:spacing w:before="0" w:beforeAutospacing="0" w:after="0" w:afterAutospacing="0" w:line="260" w:lineRule="exact"/>
                    <w:ind w:left="0" w:right="0"/>
                    <w:rPr>
                      <w:rFonts w:hint="default" w:cs="Times New Roman"/>
                      <w:color w:val="auto"/>
                      <w:sz w:val="15"/>
                      <w:szCs w:val="15"/>
                    </w:rPr>
                  </w:pPr>
                  <w:r>
                    <w:rPr>
                      <w:rFonts w:hint="eastAsia" w:cs="Times New Roman"/>
                      <w:color w:val="auto"/>
                      <w:sz w:val="15"/>
                      <w:szCs w:val="15"/>
                    </w:rPr>
                    <w:t>本项目不属于</w:t>
                  </w:r>
                  <w:r>
                    <w:rPr>
                      <w:rFonts w:hint="eastAsia" w:ascii="Times New Roman" w:hAnsi="Times New Roman" w:cs="Times New Roman"/>
                      <w:color w:val="auto"/>
                      <w:sz w:val="15"/>
                      <w:szCs w:val="15"/>
                    </w:rPr>
                    <w:t>钢铁、石化、化工、焦化、建材、有色、制浆造纸等高污染项目</w:t>
                  </w:r>
                </w:p>
              </w:tc>
              <w:tc>
                <w:tcPr>
                  <w:tcW w:w="526" w:type="dxa"/>
                  <w:vAlign w:val="center"/>
                </w:tcPr>
                <w:p w14:paraId="2EA76399">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default"/>
                      <w:color w:val="auto"/>
                      <w:sz w:val="15"/>
                      <w:szCs w:val="15"/>
                    </w:rPr>
                    <w:t>符合</w:t>
                  </w:r>
                </w:p>
              </w:tc>
            </w:tr>
            <w:tr w14:paraId="3A7BB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0" w:hRule="atLeast"/>
                <w:tblHeader/>
                <w:jc w:val="center"/>
              </w:trPr>
              <w:tc>
                <w:tcPr>
                  <w:tcW w:w="432" w:type="dxa"/>
                  <w:vAlign w:val="center"/>
                </w:tcPr>
                <w:p w14:paraId="3673879D">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eastAsia"/>
                      <w:color w:val="auto"/>
                      <w:sz w:val="15"/>
                      <w:szCs w:val="15"/>
                    </w:rPr>
                    <w:t>6</w:t>
                  </w:r>
                </w:p>
              </w:tc>
              <w:tc>
                <w:tcPr>
                  <w:tcW w:w="3296" w:type="dxa"/>
                  <w:vAlign w:val="center"/>
                </w:tcPr>
                <w:p w14:paraId="69E81722">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eastAsia" w:ascii="Times New Roman" w:hAnsi="Times New Roman" w:cs="Times New Roman"/>
                      <w:color w:val="auto"/>
                      <w:sz w:val="15"/>
                      <w:szCs w:val="15"/>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285" w:type="dxa"/>
                </w:tcPr>
                <w:p w14:paraId="7C88C1B3">
                  <w:pPr>
                    <w:pStyle w:val="12"/>
                    <w:keepNext/>
                    <w:keepLines/>
                    <w:widowControl w:val="0"/>
                    <w:suppressLineNumbers w:val="0"/>
                    <w:autoSpaceDE w:val="0"/>
                    <w:spacing w:before="0" w:beforeAutospacing="0" w:after="0" w:afterAutospacing="0" w:line="260" w:lineRule="exact"/>
                    <w:ind w:left="0" w:right="0"/>
                    <w:rPr>
                      <w:rFonts w:hint="default" w:cs="Times New Roman"/>
                      <w:color w:val="auto"/>
                      <w:sz w:val="15"/>
                      <w:szCs w:val="15"/>
                    </w:rPr>
                  </w:pPr>
                  <w:r>
                    <w:rPr>
                      <w:rFonts w:hint="eastAsia" w:cs="Times New Roman"/>
                      <w:color w:val="auto"/>
                      <w:sz w:val="15"/>
                      <w:szCs w:val="15"/>
                    </w:rPr>
                    <w:t>本项目符合国家现行产业政策，已取得达州市卫生健康委员会出具的《医疗机构执业许可证》。</w:t>
                  </w:r>
                </w:p>
              </w:tc>
              <w:tc>
                <w:tcPr>
                  <w:tcW w:w="526" w:type="dxa"/>
                  <w:vAlign w:val="center"/>
                </w:tcPr>
                <w:p w14:paraId="3AB4F31E">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default"/>
                      <w:color w:val="auto"/>
                      <w:sz w:val="15"/>
                      <w:szCs w:val="15"/>
                    </w:rPr>
                    <w:t>符合</w:t>
                  </w:r>
                </w:p>
              </w:tc>
            </w:tr>
            <w:tr w14:paraId="2C02F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5" w:hRule="atLeast"/>
                <w:tblHeader/>
                <w:jc w:val="center"/>
              </w:trPr>
              <w:tc>
                <w:tcPr>
                  <w:tcW w:w="432" w:type="dxa"/>
                  <w:vAlign w:val="center"/>
                </w:tcPr>
                <w:p w14:paraId="12CC7336">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eastAsia"/>
                      <w:color w:val="auto"/>
                      <w:sz w:val="15"/>
                      <w:szCs w:val="15"/>
                    </w:rPr>
                    <w:t>7</w:t>
                  </w:r>
                </w:p>
              </w:tc>
              <w:tc>
                <w:tcPr>
                  <w:tcW w:w="3296" w:type="dxa"/>
                  <w:vAlign w:val="center"/>
                </w:tcPr>
                <w:p w14:paraId="61CB2D0E">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eastAsia" w:ascii="Times New Roman" w:hAnsi="Times New Roman" w:cs="Times New Roman"/>
                      <w:color w:val="auto"/>
                      <w:sz w:val="15"/>
                      <w:szCs w:val="15"/>
                    </w:rPr>
                    <w:t>第二十四条 禁止新建、扩建不符合国家产能置换要求的严重过剩产能行业的项目。对于不符合国家产能置换要求的严重过剩产能行业，不得以其他任何名义、任何方式备案新增产能项目。</w:t>
                  </w:r>
                </w:p>
              </w:tc>
              <w:tc>
                <w:tcPr>
                  <w:tcW w:w="2285" w:type="dxa"/>
                </w:tcPr>
                <w:p w14:paraId="30831D01">
                  <w:pPr>
                    <w:pStyle w:val="12"/>
                    <w:keepNext/>
                    <w:keepLines/>
                    <w:widowControl w:val="0"/>
                    <w:suppressLineNumbers w:val="0"/>
                    <w:autoSpaceDE w:val="0"/>
                    <w:spacing w:before="0" w:beforeAutospacing="0" w:after="0" w:afterAutospacing="0" w:line="260" w:lineRule="exact"/>
                    <w:ind w:left="0" w:right="0"/>
                    <w:rPr>
                      <w:rFonts w:hint="default" w:cs="Times New Roman"/>
                      <w:color w:val="auto"/>
                      <w:sz w:val="15"/>
                      <w:szCs w:val="15"/>
                    </w:rPr>
                  </w:pPr>
                  <w:r>
                    <w:rPr>
                      <w:rFonts w:hint="eastAsia" w:cs="Times New Roman"/>
                      <w:color w:val="auto"/>
                      <w:sz w:val="15"/>
                      <w:szCs w:val="15"/>
                    </w:rPr>
                    <w:t>本项目为医院项目，不属于</w:t>
                  </w:r>
                  <w:r>
                    <w:rPr>
                      <w:rFonts w:hint="eastAsia" w:ascii="Times New Roman" w:hAnsi="Times New Roman" w:cs="Times New Roman"/>
                      <w:color w:val="auto"/>
                      <w:sz w:val="15"/>
                      <w:szCs w:val="15"/>
                    </w:rPr>
                    <w:t>国家产能置换要求的严重过剩产能行业的项目</w:t>
                  </w:r>
                </w:p>
              </w:tc>
              <w:tc>
                <w:tcPr>
                  <w:tcW w:w="526" w:type="dxa"/>
                  <w:vAlign w:val="center"/>
                </w:tcPr>
                <w:p w14:paraId="49F82726">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default"/>
                      <w:color w:val="auto"/>
                      <w:sz w:val="15"/>
                      <w:szCs w:val="15"/>
                    </w:rPr>
                    <w:t>符合</w:t>
                  </w:r>
                </w:p>
              </w:tc>
            </w:tr>
            <w:tr w14:paraId="18BED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tblHeader/>
                <w:jc w:val="center"/>
              </w:trPr>
              <w:tc>
                <w:tcPr>
                  <w:tcW w:w="432" w:type="dxa"/>
                  <w:vAlign w:val="center"/>
                </w:tcPr>
                <w:p w14:paraId="30884062">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eastAsia"/>
                      <w:color w:val="auto"/>
                      <w:sz w:val="15"/>
                      <w:szCs w:val="15"/>
                    </w:rPr>
                    <w:t>8</w:t>
                  </w:r>
                </w:p>
              </w:tc>
              <w:tc>
                <w:tcPr>
                  <w:tcW w:w="3296" w:type="dxa"/>
                  <w:vAlign w:val="center"/>
                </w:tcPr>
                <w:p w14:paraId="2A6C0C27">
                  <w:pPr>
                    <w:pStyle w:val="12"/>
                    <w:keepNext/>
                    <w:keepLines/>
                    <w:widowControl w:val="0"/>
                    <w:suppressLineNumbers w:val="0"/>
                    <w:autoSpaceDE w:val="0"/>
                    <w:spacing w:before="0" w:beforeAutospacing="0" w:after="0" w:afterAutospacing="0" w:line="260" w:lineRule="exact"/>
                    <w:ind w:left="0" w:right="0"/>
                    <w:rPr>
                      <w:rFonts w:hint="default" w:ascii="Times New Roman" w:hAnsi="Times New Roman" w:cs="Times New Roman"/>
                      <w:color w:val="auto"/>
                      <w:sz w:val="15"/>
                      <w:szCs w:val="15"/>
                    </w:rPr>
                  </w:pPr>
                  <w:r>
                    <w:rPr>
                      <w:rFonts w:hint="eastAsia" w:ascii="Times New Roman" w:hAnsi="Times New Roman" w:cs="Times New Roman"/>
                      <w:color w:val="auto"/>
                      <w:sz w:val="15"/>
                      <w:szCs w:val="15"/>
                    </w:rPr>
                    <w:t>第二十六条 禁止新建、扩建不符合要求的高耗能、高排放、低水平项目。</w:t>
                  </w:r>
                </w:p>
              </w:tc>
              <w:tc>
                <w:tcPr>
                  <w:tcW w:w="2285" w:type="dxa"/>
                </w:tcPr>
                <w:p w14:paraId="6F4D36E2">
                  <w:pPr>
                    <w:pStyle w:val="12"/>
                    <w:keepNext/>
                    <w:keepLines/>
                    <w:widowControl w:val="0"/>
                    <w:suppressLineNumbers w:val="0"/>
                    <w:autoSpaceDE w:val="0"/>
                    <w:spacing w:before="0" w:beforeAutospacing="0" w:after="0" w:afterAutospacing="0" w:line="260" w:lineRule="exact"/>
                    <w:ind w:left="0" w:right="0"/>
                    <w:rPr>
                      <w:rFonts w:hint="default" w:cs="Times New Roman"/>
                      <w:color w:val="auto"/>
                      <w:sz w:val="15"/>
                      <w:szCs w:val="15"/>
                    </w:rPr>
                  </w:pPr>
                  <w:r>
                    <w:rPr>
                      <w:rFonts w:hint="eastAsia" w:cs="Times New Roman"/>
                      <w:color w:val="auto"/>
                      <w:sz w:val="15"/>
                      <w:szCs w:val="15"/>
                    </w:rPr>
                    <w:t>本项目营运期耗能主要为电能，大气污染物主要为H</w:t>
                  </w:r>
                  <w:r>
                    <w:rPr>
                      <w:rFonts w:hint="eastAsia" w:cs="Times New Roman"/>
                      <w:color w:val="auto"/>
                      <w:sz w:val="15"/>
                      <w:szCs w:val="15"/>
                      <w:vertAlign w:val="subscript"/>
                    </w:rPr>
                    <w:t>2</w:t>
                  </w:r>
                  <w:r>
                    <w:rPr>
                      <w:rFonts w:hint="eastAsia" w:cs="Times New Roman"/>
                      <w:color w:val="auto"/>
                      <w:sz w:val="15"/>
                      <w:szCs w:val="15"/>
                    </w:rPr>
                    <w:t>S、NH</w:t>
                  </w:r>
                  <w:r>
                    <w:rPr>
                      <w:rFonts w:hint="eastAsia" w:cs="Times New Roman"/>
                      <w:color w:val="auto"/>
                      <w:sz w:val="15"/>
                      <w:szCs w:val="15"/>
                      <w:vertAlign w:val="subscript"/>
                    </w:rPr>
                    <w:t>3</w:t>
                  </w:r>
                  <w:r>
                    <w:rPr>
                      <w:rFonts w:hint="eastAsia" w:cs="Times New Roman"/>
                      <w:color w:val="auto"/>
                      <w:sz w:val="15"/>
                      <w:szCs w:val="15"/>
                    </w:rPr>
                    <w:t>，不属于高耗能、高排放、低水平项目</w:t>
                  </w:r>
                </w:p>
              </w:tc>
              <w:tc>
                <w:tcPr>
                  <w:tcW w:w="526" w:type="dxa"/>
                  <w:vAlign w:val="center"/>
                </w:tcPr>
                <w:p w14:paraId="6BB9C1F5">
                  <w:pPr>
                    <w:keepNext w:val="0"/>
                    <w:keepLines w:val="0"/>
                    <w:suppressLineNumbers w:val="0"/>
                    <w:adjustRightInd w:val="0"/>
                    <w:snapToGrid w:val="0"/>
                    <w:spacing w:before="0" w:beforeAutospacing="0" w:after="0" w:afterAutospacing="0" w:line="260" w:lineRule="exact"/>
                    <w:ind w:left="0" w:right="0"/>
                    <w:jc w:val="center"/>
                    <w:rPr>
                      <w:rFonts w:hint="default"/>
                      <w:color w:val="auto"/>
                      <w:sz w:val="15"/>
                      <w:szCs w:val="15"/>
                    </w:rPr>
                  </w:pPr>
                  <w:r>
                    <w:rPr>
                      <w:rFonts w:hint="eastAsia"/>
                      <w:color w:val="auto"/>
                      <w:sz w:val="15"/>
                      <w:szCs w:val="15"/>
                    </w:rPr>
                    <w:t>符合</w:t>
                  </w:r>
                </w:p>
              </w:tc>
            </w:tr>
          </w:tbl>
          <w:p w14:paraId="6E67645E">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ascii="黑体" w:hAnsi="黑体" w:eastAsia="黑体" w:cs="宋体"/>
                <w:bCs/>
                <w:color w:val="auto"/>
                <w:szCs w:val="21"/>
              </w:rPr>
            </w:pPr>
            <w:r>
              <w:rPr>
                <w:rFonts w:hint="eastAsia" w:ascii="黑体" w:hAnsi="黑体" w:eastAsia="黑体" w:cs="宋体"/>
                <w:bCs/>
                <w:color w:val="auto"/>
                <w:szCs w:val="21"/>
              </w:rPr>
              <w:t>4、行业相关符合性分析</w:t>
            </w:r>
          </w:p>
          <w:p w14:paraId="24B9E5B7">
            <w:pPr>
              <w:keepNext w:val="0"/>
              <w:keepLines w:val="0"/>
              <w:suppressLineNumbers w:val="0"/>
              <w:autoSpaceDE w:val="0"/>
              <w:autoSpaceDN w:val="0"/>
              <w:adjustRightInd w:val="0"/>
              <w:snapToGrid w:val="0"/>
              <w:spacing w:before="0" w:beforeAutospacing="0" w:after="0" w:afterAutospacing="0" w:line="400" w:lineRule="exact"/>
              <w:ind w:left="-53" w:leftChars="-25" w:right="-53" w:rightChars="-25" w:firstLine="422" w:firstLineChars="200"/>
              <w:jc w:val="left"/>
              <w:rPr>
                <w:rFonts w:hint="default"/>
                <w:b/>
                <w:bCs/>
                <w:color w:val="auto"/>
                <w:kern w:val="0"/>
              </w:rPr>
            </w:pPr>
            <w:r>
              <w:rPr>
                <w:rFonts w:hint="default" w:ascii="宋体" w:hAnsi="宋体"/>
                <w:b/>
                <w:bCs/>
                <w:color w:val="auto"/>
                <w:kern w:val="0"/>
              </w:rPr>
              <w:t>（</w:t>
            </w:r>
            <w:r>
              <w:rPr>
                <w:rFonts w:hint="eastAsia"/>
                <w:b/>
                <w:bCs/>
                <w:color w:val="auto"/>
                <w:kern w:val="0"/>
              </w:rPr>
              <w:t>1</w:t>
            </w:r>
            <w:r>
              <w:rPr>
                <w:rFonts w:hint="default" w:ascii="宋体" w:hAnsi="宋体"/>
                <w:b/>
                <w:bCs/>
                <w:color w:val="auto"/>
                <w:kern w:val="0"/>
              </w:rPr>
              <w:t>）与《四川省</w:t>
            </w:r>
            <w:r>
              <w:rPr>
                <w:rFonts w:hint="default"/>
                <w:b/>
                <w:bCs/>
                <w:color w:val="auto"/>
                <w:kern w:val="0"/>
              </w:rPr>
              <w:t>“</w:t>
            </w:r>
            <w:r>
              <w:rPr>
                <w:rFonts w:hint="default" w:ascii="宋体" w:hAnsi="宋体"/>
                <w:b/>
                <w:bCs/>
                <w:color w:val="auto"/>
                <w:kern w:val="0"/>
              </w:rPr>
              <w:t>十四五</w:t>
            </w:r>
            <w:r>
              <w:rPr>
                <w:rFonts w:hint="default"/>
                <w:b/>
                <w:bCs/>
                <w:color w:val="auto"/>
                <w:kern w:val="0"/>
              </w:rPr>
              <w:t>”</w:t>
            </w:r>
            <w:r>
              <w:rPr>
                <w:rFonts w:hint="default" w:ascii="宋体" w:hAnsi="宋体"/>
                <w:b/>
                <w:bCs/>
                <w:color w:val="auto"/>
                <w:kern w:val="0"/>
              </w:rPr>
              <w:t>卫生健康发展规划》（川办发〔</w:t>
            </w:r>
            <w:r>
              <w:rPr>
                <w:rFonts w:hint="default"/>
                <w:b/>
                <w:bCs/>
                <w:color w:val="auto"/>
                <w:kern w:val="0"/>
              </w:rPr>
              <w:t>2021</w:t>
            </w:r>
            <w:r>
              <w:rPr>
                <w:rFonts w:hint="default" w:ascii="宋体" w:hAnsi="宋体"/>
                <w:b/>
                <w:bCs/>
                <w:color w:val="auto"/>
                <w:kern w:val="0"/>
              </w:rPr>
              <w:t>〕</w:t>
            </w:r>
            <w:r>
              <w:rPr>
                <w:rFonts w:hint="default"/>
                <w:b/>
                <w:bCs/>
                <w:color w:val="auto"/>
                <w:kern w:val="0"/>
              </w:rPr>
              <w:t>65</w:t>
            </w:r>
            <w:r>
              <w:rPr>
                <w:rFonts w:hint="default" w:ascii="宋体" w:hAnsi="宋体"/>
                <w:b/>
                <w:bCs/>
                <w:color w:val="auto"/>
                <w:kern w:val="0"/>
              </w:rPr>
              <w:t>号）符合性分析</w:t>
            </w:r>
          </w:p>
          <w:p w14:paraId="1051D09F">
            <w:pPr>
              <w:pStyle w:val="47"/>
              <w:keepNext w:val="0"/>
              <w:keepLines w:val="0"/>
              <w:suppressLineNumbers w:val="0"/>
              <w:spacing w:before="0" w:beforeAutospacing="0" w:after="0" w:afterAutospacing="0" w:line="400" w:lineRule="exact"/>
              <w:ind w:left="0" w:right="0"/>
              <w:jc w:val="center"/>
              <w:rPr>
                <w:rFonts w:hint="default" w:ascii="黑体" w:hAnsi="黑体" w:eastAsia="黑体" w:cs="Times New Roman"/>
                <w:color w:val="auto"/>
                <w:sz w:val="18"/>
                <w:szCs w:val="18"/>
              </w:rPr>
            </w:pPr>
          </w:p>
          <w:p w14:paraId="4B622948">
            <w:pPr>
              <w:pStyle w:val="47"/>
              <w:keepNext w:val="0"/>
              <w:keepLines w:val="0"/>
              <w:suppressLineNumbers w:val="0"/>
              <w:spacing w:before="0" w:beforeAutospacing="0" w:after="0" w:afterAutospacing="0" w:line="400" w:lineRule="exact"/>
              <w:ind w:left="0" w:right="0"/>
              <w:jc w:val="center"/>
              <w:rPr>
                <w:rFonts w:hint="default" w:ascii="Times New Roman" w:hAnsi="Times New Roman" w:eastAsia="黑体" w:cs="Times New Roman"/>
                <w:color w:val="auto"/>
                <w:sz w:val="18"/>
                <w:szCs w:val="18"/>
              </w:rPr>
            </w:pPr>
            <w:r>
              <w:rPr>
                <w:rFonts w:hint="default" w:ascii="黑体" w:hAnsi="黑体" w:eastAsia="黑体" w:cs="Times New Roman"/>
                <w:color w:val="auto"/>
                <w:sz w:val="18"/>
                <w:szCs w:val="18"/>
              </w:rPr>
              <w:t>表</w:t>
            </w:r>
            <w:r>
              <w:rPr>
                <w:rFonts w:hint="default" w:ascii="Times New Roman" w:hAnsi="Times New Roman" w:eastAsia="黑体" w:cs="Times New Roman"/>
                <w:color w:val="auto"/>
                <w:sz w:val="18"/>
                <w:szCs w:val="18"/>
              </w:rPr>
              <w:t>1</w:t>
            </w:r>
            <w:r>
              <w:rPr>
                <w:rFonts w:hint="eastAsia" w:ascii="Times New Roman" w:hAnsi="Times New Roman" w:eastAsia="黑体" w:cs="Times New Roman"/>
                <w:color w:val="auto"/>
                <w:sz w:val="18"/>
                <w:szCs w:val="18"/>
              </w:rPr>
              <w:t>-4</w:t>
            </w:r>
            <w:r>
              <w:rPr>
                <w:rFonts w:hint="default" w:ascii="Times New Roman" w:hAnsi="Times New Roman" w:eastAsia="黑体" w:cs="Times New Roman"/>
                <w:color w:val="auto"/>
                <w:sz w:val="18"/>
                <w:szCs w:val="18"/>
              </w:rPr>
              <w:t xml:space="preserve">   </w:t>
            </w:r>
            <w:r>
              <w:rPr>
                <w:rFonts w:hint="default" w:ascii="黑体" w:hAnsi="黑体" w:eastAsia="黑体" w:cs="Times New Roman"/>
                <w:color w:val="auto"/>
                <w:sz w:val="18"/>
                <w:szCs w:val="18"/>
              </w:rPr>
              <w:t>与川办发〔</w:t>
            </w:r>
            <w:r>
              <w:rPr>
                <w:rFonts w:hint="default" w:ascii="Times New Roman" w:hAnsi="Times New Roman" w:eastAsia="黑体" w:cs="Times New Roman"/>
                <w:color w:val="auto"/>
                <w:sz w:val="18"/>
                <w:szCs w:val="18"/>
              </w:rPr>
              <w:t>2021</w:t>
            </w:r>
            <w:r>
              <w:rPr>
                <w:rFonts w:hint="default" w:ascii="黑体" w:hAnsi="黑体" w:eastAsia="黑体" w:cs="Times New Roman"/>
                <w:color w:val="auto"/>
                <w:sz w:val="18"/>
                <w:szCs w:val="18"/>
              </w:rPr>
              <w:t>〕</w:t>
            </w:r>
            <w:r>
              <w:rPr>
                <w:rFonts w:hint="default" w:ascii="Times New Roman" w:hAnsi="Times New Roman" w:eastAsia="黑体" w:cs="Times New Roman"/>
                <w:color w:val="auto"/>
                <w:sz w:val="18"/>
                <w:szCs w:val="18"/>
              </w:rPr>
              <w:t>65</w:t>
            </w:r>
            <w:r>
              <w:rPr>
                <w:rFonts w:hint="default" w:ascii="黑体" w:hAnsi="黑体" w:eastAsia="黑体" w:cs="Times New Roman"/>
                <w:color w:val="auto"/>
                <w:sz w:val="18"/>
                <w:szCs w:val="18"/>
              </w:rPr>
              <w:t>号的符合性分析</w:t>
            </w:r>
          </w:p>
          <w:tbl>
            <w:tblPr>
              <w:tblStyle w:val="13"/>
              <w:tblW w:w="6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3842"/>
              <w:gridCol w:w="1504"/>
              <w:gridCol w:w="613"/>
            </w:tblGrid>
            <w:tr w14:paraId="6F405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402" w:type="dxa"/>
                  <w:gridSpan w:val="2"/>
                  <w:tcBorders>
                    <w:top w:val="single" w:color="auto" w:sz="4" w:space="0"/>
                    <w:left w:val="single" w:color="auto" w:sz="4" w:space="0"/>
                    <w:bottom w:val="single" w:color="auto" w:sz="4" w:space="0"/>
                    <w:right w:val="single" w:color="auto" w:sz="4" w:space="0"/>
                  </w:tcBorders>
                  <w:vAlign w:val="center"/>
                </w:tcPr>
                <w:p w14:paraId="5A34657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jc w:val="center"/>
                    <w:textAlignment w:val="auto"/>
                    <w:rPr>
                      <w:rFonts w:hint="default" w:ascii="宋体" w:hAnsi="宋体"/>
                      <w:b/>
                      <w:bCs/>
                      <w:color w:val="auto"/>
                      <w:kern w:val="0"/>
                      <w:sz w:val="18"/>
                      <w:szCs w:val="18"/>
                    </w:rPr>
                  </w:pPr>
                  <w:r>
                    <w:rPr>
                      <w:rFonts w:hint="eastAsia" w:ascii="宋体" w:hAnsi="宋体"/>
                      <w:b/>
                      <w:bCs/>
                      <w:color w:val="auto"/>
                      <w:kern w:val="0"/>
                      <w:sz w:val="18"/>
                      <w:szCs w:val="18"/>
                    </w:rPr>
                    <w:t>文件要求</w:t>
                  </w:r>
                </w:p>
              </w:tc>
              <w:tc>
                <w:tcPr>
                  <w:tcW w:w="1504" w:type="dxa"/>
                  <w:tcBorders>
                    <w:top w:val="single" w:color="auto" w:sz="4" w:space="0"/>
                    <w:left w:val="single" w:color="auto" w:sz="4" w:space="0"/>
                    <w:bottom w:val="single" w:color="auto" w:sz="4" w:space="0"/>
                    <w:right w:val="single" w:color="auto" w:sz="4" w:space="0"/>
                  </w:tcBorders>
                  <w:vAlign w:val="center"/>
                </w:tcPr>
                <w:p w14:paraId="4B8DD87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jc w:val="center"/>
                    <w:textAlignment w:val="auto"/>
                    <w:rPr>
                      <w:rFonts w:hint="default" w:ascii="宋体" w:hAnsi="宋体"/>
                      <w:b/>
                      <w:bCs/>
                      <w:color w:val="auto"/>
                      <w:kern w:val="0"/>
                      <w:sz w:val="18"/>
                      <w:szCs w:val="18"/>
                    </w:rPr>
                  </w:pPr>
                  <w:r>
                    <w:rPr>
                      <w:rFonts w:hint="eastAsia" w:ascii="宋体" w:hAnsi="宋体"/>
                      <w:b/>
                      <w:bCs/>
                      <w:color w:val="auto"/>
                      <w:kern w:val="0"/>
                      <w:sz w:val="18"/>
                      <w:szCs w:val="18"/>
                    </w:rPr>
                    <w:t>本项目</w:t>
                  </w:r>
                </w:p>
              </w:tc>
              <w:tc>
                <w:tcPr>
                  <w:tcW w:w="613" w:type="dxa"/>
                  <w:tcBorders>
                    <w:top w:val="single" w:color="auto" w:sz="4" w:space="0"/>
                    <w:left w:val="single" w:color="auto" w:sz="4" w:space="0"/>
                    <w:bottom w:val="single" w:color="auto" w:sz="4" w:space="0"/>
                    <w:right w:val="single" w:color="auto" w:sz="4" w:space="0"/>
                  </w:tcBorders>
                  <w:vAlign w:val="center"/>
                </w:tcPr>
                <w:p w14:paraId="31FD409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jc w:val="center"/>
                    <w:textAlignment w:val="auto"/>
                    <w:rPr>
                      <w:rFonts w:hint="default" w:ascii="宋体" w:hAnsi="宋体"/>
                      <w:b/>
                      <w:bCs/>
                      <w:color w:val="auto"/>
                      <w:kern w:val="0"/>
                      <w:sz w:val="18"/>
                      <w:szCs w:val="18"/>
                    </w:rPr>
                  </w:pPr>
                  <w:r>
                    <w:rPr>
                      <w:rFonts w:hint="eastAsia" w:ascii="宋体" w:hAnsi="宋体"/>
                      <w:b/>
                      <w:bCs/>
                      <w:color w:val="auto"/>
                      <w:kern w:val="0"/>
                      <w:sz w:val="18"/>
                      <w:szCs w:val="18"/>
                    </w:rPr>
                    <w:t>符合性</w:t>
                  </w:r>
                </w:p>
              </w:tc>
            </w:tr>
            <w:tr w14:paraId="2E207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3" w:hRule="atLeast"/>
                <w:jc w:val="center"/>
              </w:trPr>
              <w:tc>
                <w:tcPr>
                  <w:tcW w:w="560" w:type="dxa"/>
                  <w:tcBorders>
                    <w:top w:val="single" w:color="auto" w:sz="4" w:space="0"/>
                    <w:left w:val="single" w:color="auto" w:sz="4" w:space="0"/>
                    <w:bottom w:val="single" w:color="auto" w:sz="4" w:space="0"/>
                    <w:right w:val="single" w:color="auto" w:sz="4" w:space="0"/>
                  </w:tcBorders>
                  <w:vAlign w:val="center"/>
                </w:tcPr>
                <w:p w14:paraId="067134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jc w:val="center"/>
                    <w:textAlignment w:val="auto"/>
                    <w:rPr>
                      <w:rFonts w:hint="default" w:ascii="宋体" w:hAnsi="宋体"/>
                      <w:color w:val="auto"/>
                      <w:kern w:val="0"/>
                      <w:sz w:val="18"/>
                      <w:szCs w:val="18"/>
                    </w:rPr>
                  </w:pPr>
                  <w:r>
                    <w:rPr>
                      <w:rFonts w:hint="eastAsia" w:ascii="宋体" w:hAnsi="宋体"/>
                      <w:color w:val="auto"/>
                      <w:kern w:val="0"/>
                      <w:sz w:val="18"/>
                      <w:szCs w:val="18"/>
                    </w:rPr>
                    <w:t>推动社会办医高质量发展</w:t>
                  </w:r>
                </w:p>
              </w:tc>
              <w:tc>
                <w:tcPr>
                  <w:tcW w:w="3842" w:type="dxa"/>
                  <w:tcBorders>
                    <w:top w:val="single" w:color="auto" w:sz="4" w:space="0"/>
                    <w:left w:val="single" w:color="auto" w:sz="4" w:space="0"/>
                    <w:bottom w:val="single" w:color="auto" w:sz="4" w:space="0"/>
                    <w:right w:val="single" w:color="auto" w:sz="4" w:space="0"/>
                  </w:tcBorders>
                  <w:vAlign w:val="center"/>
                </w:tcPr>
                <w:p w14:paraId="0D8910E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jc w:val="left"/>
                    <w:textAlignment w:val="auto"/>
                    <w:rPr>
                      <w:rFonts w:hint="default" w:ascii="宋体" w:hAnsi="宋体"/>
                      <w:color w:val="auto"/>
                      <w:kern w:val="0"/>
                      <w:sz w:val="18"/>
                      <w:szCs w:val="18"/>
                    </w:rPr>
                  </w:pPr>
                  <w:r>
                    <w:rPr>
                      <w:rFonts w:hint="eastAsia" w:ascii="宋体" w:hAnsi="宋体"/>
                      <w:color w:val="auto"/>
                      <w:kern w:val="0"/>
                      <w:sz w:val="18"/>
                      <w:szCs w:val="18"/>
                    </w:rPr>
                    <w:t>构建社会办医差异化竞争优势。推动社会办医在专科设置、发展形态上与公立医院功能互补,大力发展眼科、妇产、儿科、老年、口腔、肿瘤、</w:t>
                  </w:r>
                  <w:r>
                    <w:rPr>
                      <w:rFonts w:hint="eastAsia" w:ascii="宋体" w:hAnsi="宋体"/>
                      <w:bCs/>
                      <w:color w:val="auto"/>
                      <w:kern w:val="0"/>
                      <w:sz w:val="18"/>
                      <w:szCs w:val="18"/>
                    </w:rPr>
                    <w:t>骨科</w:t>
                  </w:r>
                  <w:r>
                    <w:rPr>
                      <w:rFonts w:hint="eastAsia" w:ascii="宋体" w:hAnsi="宋体"/>
                      <w:color w:val="auto"/>
                      <w:kern w:val="0"/>
                      <w:sz w:val="18"/>
                      <w:szCs w:val="18"/>
                    </w:rPr>
                    <w:t>、精神、医疗美容等专科以及</w:t>
                  </w:r>
                  <w:r>
                    <w:rPr>
                      <w:rFonts w:hint="eastAsia" w:ascii="宋体" w:hAnsi="宋体"/>
                      <w:bCs/>
                      <w:color w:val="auto"/>
                      <w:kern w:val="0"/>
                      <w:sz w:val="18"/>
                      <w:szCs w:val="18"/>
                    </w:rPr>
                    <w:t>中医、康复、</w:t>
                  </w:r>
                  <w:r>
                    <w:rPr>
                      <w:rFonts w:hint="eastAsia" w:ascii="宋体" w:hAnsi="宋体"/>
                      <w:color w:val="auto"/>
                      <w:kern w:val="0"/>
                      <w:sz w:val="18"/>
                      <w:szCs w:val="18"/>
                    </w:rPr>
                    <w:t>护理、体检等专业领域,支持社会力量提供多层次、多样化、全病程医疗服务。培育社会办医品牌。支持信誉好、技术优、管理强、后劲足的社会办医疗机构做大做强。发展医疗服务领域专业投资机构、并购基金,扩充优质医疗资源。引入培育优质医疗管理集团,鼓励跨区域办医、连锁办医,打造一批具有竞争优势的社会办医品牌。</w:t>
                  </w:r>
                </w:p>
                <w:p w14:paraId="0A1DC03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jc w:val="left"/>
                    <w:textAlignment w:val="auto"/>
                    <w:rPr>
                      <w:rFonts w:hint="default" w:ascii="宋体" w:hAnsi="宋体"/>
                      <w:color w:val="auto"/>
                      <w:kern w:val="0"/>
                      <w:sz w:val="18"/>
                      <w:szCs w:val="18"/>
                    </w:rPr>
                  </w:pPr>
                  <w:r>
                    <w:rPr>
                      <w:rFonts w:hint="eastAsia" w:ascii="宋体" w:hAnsi="宋体"/>
                      <w:color w:val="auto"/>
                      <w:kern w:val="0"/>
                      <w:sz w:val="18"/>
                      <w:szCs w:val="18"/>
                    </w:rPr>
                    <w:t>鼓励社会资本举办和运营高水平的全科诊所,构建诊所、医院、商业保险机构深度合作机制。强化社会办医管理服务。规范社会办医机构级别类别管理及依法执业监管,深化民营医疗机构评审工作。增强社会办医发展内生动力,深入开展社会办医管理培训、专业技能培训。鼓励公立医疗机构与社会办医疗机构开展合作,探索形成人才、技术、运营等全方位、可持续互助共赢机制。</w:t>
                  </w:r>
                </w:p>
              </w:tc>
              <w:tc>
                <w:tcPr>
                  <w:tcW w:w="1504" w:type="dxa"/>
                  <w:tcBorders>
                    <w:top w:val="single" w:color="auto" w:sz="4" w:space="0"/>
                    <w:left w:val="single" w:color="auto" w:sz="4" w:space="0"/>
                    <w:bottom w:val="single" w:color="auto" w:sz="4" w:space="0"/>
                    <w:right w:val="single" w:color="auto" w:sz="4" w:space="0"/>
                  </w:tcBorders>
                  <w:vAlign w:val="center"/>
                </w:tcPr>
                <w:p w14:paraId="729964D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textAlignment w:val="auto"/>
                    <w:rPr>
                      <w:rFonts w:hint="default" w:ascii="宋体" w:hAnsi="宋体"/>
                      <w:color w:val="auto"/>
                      <w:kern w:val="0"/>
                      <w:sz w:val="18"/>
                      <w:szCs w:val="18"/>
                    </w:rPr>
                  </w:pPr>
                  <w:r>
                    <w:rPr>
                      <w:rFonts w:hint="eastAsia" w:ascii="宋体" w:hAnsi="宋体"/>
                      <w:color w:val="auto"/>
                      <w:kern w:val="0"/>
                      <w:sz w:val="18"/>
                      <w:szCs w:val="18"/>
                    </w:rPr>
                    <w:t>本项目为社会民办医院，拟开设内科、外科、妇产科、精神科、医学检验科、医学影像科等科室，有利于社会力量提供多层次、多样化、全病程医疗服务，有利于构建诊所、医院、商业保险机构深度合作机制。</w:t>
                  </w:r>
                </w:p>
              </w:tc>
              <w:tc>
                <w:tcPr>
                  <w:tcW w:w="613" w:type="dxa"/>
                  <w:tcBorders>
                    <w:top w:val="single" w:color="auto" w:sz="4" w:space="0"/>
                    <w:left w:val="single" w:color="auto" w:sz="4" w:space="0"/>
                    <w:bottom w:val="single" w:color="auto" w:sz="4" w:space="0"/>
                    <w:right w:val="single" w:color="auto" w:sz="4" w:space="0"/>
                  </w:tcBorders>
                  <w:vAlign w:val="center"/>
                </w:tcPr>
                <w:p w14:paraId="0BA8E78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jc w:val="center"/>
                    <w:textAlignment w:val="auto"/>
                    <w:rPr>
                      <w:rFonts w:hint="default" w:ascii="宋体" w:hAnsi="宋体"/>
                      <w:color w:val="auto"/>
                      <w:kern w:val="0"/>
                      <w:sz w:val="18"/>
                      <w:szCs w:val="18"/>
                    </w:rPr>
                  </w:pPr>
                  <w:r>
                    <w:rPr>
                      <w:rFonts w:hint="eastAsia" w:ascii="宋体" w:hAnsi="宋体"/>
                      <w:color w:val="auto"/>
                      <w:kern w:val="0"/>
                      <w:sz w:val="18"/>
                      <w:szCs w:val="18"/>
                    </w:rPr>
                    <w:t>符合</w:t>
                  </w:r>
                </w:p>
              </w:tc>
            </w:tr>
            <w:tr w14:paraId="70703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560" w:type="dxa"/>
                  <w:tcBorders>
                    <w:top w:val="single" w:color="auto" w:sz="4" w:space="0"/>
                    <w:left w:val="single" w:color="auto" w:sz="4" w:space="0"/>
                    <w:bottom w:val="single" w:color="auto" w:sz="4" w:space="0"/>
                    <w:right w:val="single" w:color="auto" w:sz="4" w:space="0"/>
                  </w:tcBorders>
                  <w:vAlign w:val="center"/>
                </w:tcPr>
                <w:p w14:paraId="727402A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jc w:val="center"/>
                    <w:textAlignment w:val="auto"/>
                    <w:rPr>
                      <w:rFonts w:hint="default" w:ascii="宋体" w:hAnsi="宋体"/>
                      <w:color w:val="auto"/>
                      <w:kern w:val="0"/>
                      <w:sz w:val="18"/>
                      <w:szCs w:val="18"/>
                    </w:rPr>
                  </w:pPr>
                  <w:r>
                    <w:rPr>
                      <w:rFonts w:hint="eastAsia" w:ascii="宋体" w:hAnsi="宋体"/>
                      <w:color w:val="auto"/>
                      <w:kern w:val="0"/>
                      <w:sz w:val="18"/>
                      <w:szCs w:val="18"/>
                    </w:rPr>
                    <w:t>优化医疗服务模式</w:t>
                  </w:r>
                </w:p>
              </w:tc>
              <w:tc>
                <w:tcPr>
                  <w:tcW w:w="3842" w:type="dxa"/>
                  <w:tcBorders>
                    <w:top w:val="single" w:color="auto" w:sz="4" w:space="0"/>
                    <w:left w:val="single" w:color="auto" w:sz="4" w:space="0"/>
                    <w:bottom w:val="single" w:color="auto" w:sz="4" w:space="0"/>
                    <w:right w:val="single" w:color="auto" w:sz="4" w:space="0"/>
                  </w:tcBorders>
                  <w:vAlign w:val="center"/>
                </w:tcPr>
                <w:p w14:paraId="25EA805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jc w:val="left"/>
                    <w:textAlignment w:val="auto"/>
                    <w:rPr>
                      <w:rFonts w:hint="default" w:ascii="宋体" w:hAnsi="宋体"/>
                      <w:color w:val="auto"/>
                      <w:kern w:val="0"/>
                      <w:sz w:val="18"/>
                      <w:szCs w:val="18"/>
                    </w:rPr>
                  </w:pPr>
                  <w:r>
                    <w:rPr>
                      <w:rFonts w:hint="eastAsia" w:ascii="宋体" w:hAnsi="宋体"/>
                      <w:color w:val="auto"/>
                      <w:kern w:val="0"/>
                      <w:sz w:val="18"/>
                      <w:szCs w:val="18"/>
                    </w:rPr>
                    <w:t>改善就医环境与医疗服务。大力开展多学科诊疗、日间服务、医务社工、急诊急救等服务，提高患者就医可及性。</w:t>
                  </w:r>
                </w:p>
              </w:tc>
              <w:tc>
                <w:tcPr>
                  <w:tcW w:w="1504" w:type="dxa"/>
                  <w:tcBorders>
                    <w:top w:val="single" w:color="auto" w:sz="4" w:space="0"/>
                    <w:left w:val="single" w:color="auto" w:sz="4" w:space="0"/>
                    <w:bottom w:val="single" w:color="auto" w:sz="4" w:space="0"/>
                    <w:right w:val="single" w:color="auto" w:sz="4" w:space="0"/>
                  </w:tcBorders>
                  <w:vAlign w:val="center"/>
                </w:tcPr>
                <w:p w14:paraId="28DB9B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textAlignment w:val="auto"/>
                    <w:rPr>
                      <w:rFonts w:hint="default" w:ascii="宋体" w:hAnsi="宋体"/>
                      <w:color w:val="auto"/>
                      <w:kern w:val="0"/>
                      <w:sz w:val="18"/>
                      <w:szCs w:val="18"/>
                    </w:rPr>
                  </w:pPr>
                  <w:r>
                    <w:rPr>
                      <w:rFonts w:hint="eastAsia" w:ascii="宋体" w:hAnsi="宋体"/>
                      <w:color w:val="auto"/>
                      <w:kern w:val="0"/>
                      <w:sz w:val="18"/>
                      <w:szCs w:val="18"/>
                    </w:rPr>
                    <w:t>项目的建设，有利于改善区域人民就医环境与医疗服务水平，提高患者就医可及性。</w:t>
                  </w:r>
                </w:p>
              </w:tc>
              <w:tc>
                <w:tcPr>
                  <w:tcW w:w="613" w:type="dxa"/>
                  <w:tcBorders>
                    <w:top w:val="single" w:color="auto" w:sz="4" w:space="0"/>
                    <w:left w:val="single" w:color="auto" w:sz="4" w:space="0"/>
                    <w:bottom w:val="single" w:color="auto" w:sz="4" w:space="0"/>
                    <w:right w:val="single" w:color="auto" w:sz="4" w:space="0"/>
                  </w:tcBorders>
                  <w:vAlign w:val="center"/>
                </w:tcPr>
                <w:p w14:paraId="7D1C2E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00" w:lineRule="exact"/>
                    <w:ind w:left="-84" w:leftChars="-40" w:right="-84" w:rightChars="-40"/>
                    <w:jc w:val="center"/>
                    <w:textAlignment w:val="auto"/>
                    <w:rPr>
                      <w:rFonts w:hint="default" w:ascii="宋体" w:hAnsi="宋体"/>
                      <w:color w:val="auto"/>
                      <w:kern w:val="0"/>
                      <w:sz w:val="18"/>
                      <w:szCs w:val="18"/>
                    </w:rPr>
                  </w:pPr>
                  <w:r>
                    <w:rPr>
                      <w:rFonts w:hint="eastAsia" w:ascii="宋体" w:hAnsi="宋体"/>
                      <w:color w:val="auto"/>
                      <w:kern w:val="0"/>
                      <w:sz w:val="18"/>
                      <w:szCs w:val="18"/>
                    </w:rPr>
                    <w:t>符合</w:t>
                  </w:r>
                </w:p>
              </w:tc>
            </w:tr>
          </w:tbl>
          <w:p w14:paraId="213921A4">
            <w:pPr>
              <w:keepNext w:val="0"/>
              <w:keepLines w:val="0"/>
              <w:suppressLineNumbers w:val="0"/>
              <w:autoSpaceDE w:val="0"/>
              <w:autoSpaceDN w:val="0"/>
              <w:adjustRightInd w:val="0"/>
              <w:snapToGrid w:val="0"/>
              <w:spacing w:before="0" w:beforeAutospacing="0" w:after="0" w:afterAutospacing="0" w:line="400" w:lineRule="exact"/>
              <w:ind w:left="-53" w:leftChars="-25" w:right="-53" w:rightChars="-25" w:firstLine="420" w:firstLineChars="200"/>
              <w:jc w:val="left"/>
              <w:rPr>
                <w:rFonts w:hint="default"/>
                <w:color w:val="auto"/>
                <w:kern w:val="0"/>
                <w:szCs w:val="21"/>
              </w:rPr>
            </w:pPr>
            <w:r>
              <w:rPr>
                <w:rFonts w:hint="eastAsia" w:ascii="宋体" w:hAnsi="宋体"/>
                <w:color w:val="auto"/>
                <w:kern w:val="0"/>
              </w:rPr>
              <w:t>由上表分析可知，本项目符合《四川省“十四五”卫生健康发展规划》（川办发〔</w:t>
            </w:r>
            <w:r>
              <w:rPr>
                <w:rFonts w:hint="eastAsia"/>
                <w:color w:val="auto"/>
                <w:kern w:val="0"/>
              </w:rPr>
              <w:t>2021</w:t>
            </w:r>
            <w:r>
              <w:rPr>
                <w:rFonts w:hint="eastAsia" w:ascii="宋体" w:hAnsi="宋体"/>
                <w:color w:val="auto"/>
                <w:kern w:val="0"/>
              </w:rPr>
              <w:t>〕</w:t>
            </w:r>
            <w:r>
              <w:rPr>
                <w:rFonts w:hint="eastAsia"/>
                <w:color w:val="auto"/>
                <w:kern w:val="0"/>
              </w:rPr>
              <w:t>65</w:t>
            </w:r>
            <w:r>
              <w:rPr>
                <w:rFonts w:hint="eastAsia" w:ascii="宋体" w:hAnsi="宋体"/>
                <w:color w:val="auto"/>
                <w:kern w:val="0"/>
              </w:rPr>
              <w:t>号）。</w:t>
            </w:r>
          </w:p>
          <w:p w14:paraId="57F5938C">
            <w:pPr>
              <w:keepNext w:val="0"/>
              <w:keepLines w:val="0"/>
              <w:suppressLineNumbers w:val="0"/>
              <w:autoSpaceDE w:val="0"/>
              <w:autoSpaceDN w:val="0"/>
              <w:adjustRightInd w:val="0"/>
              <w:snapToGrid w:val="0"/>
              <w:spacing w:before="0" w:beforeAutospacing="0" w:after="0" w:afterAutospacing="0" w:line="400" w:lineRule="exact"/>
              <w:ind w:left="-53" w:leftChars="-25" w:right="-53" w:rightChars="-25" w:firstLine="422" w:firstLineChars="200"/>
              <w:jc w:val="left"/>
              <w:rPr>
                <w:rFonts w:hint="default"/>
                <w:b/>
                <w:bCs/>
                <w:color w:val="auto"/>
                <w:kern w:val="0"/>
              </w:rPr>
            </w:pPr>
            <w:r>
              <w:rPr>
                <w:rFonts w:hint="default" w:ascii="宋体" w:hAnsi="宋体"/>
                <w:b/>
                <w:bCs/>
                <w:color w:val="auto"/>
                <w:kern w:val="0"/>
              </w:rPr>
              <w:t>（</w:t>
            </w:r>
            <w:r>
              <w:rPr>
                <w:rFonts w:hint="eastAsia"/>
                <w:b/>
                <w:bCs/>
                <w:color w:val="auto"/>
                <w:kern w:val="0"/>
              </w:rPr>
              <w:t>2</w:t>
            </w:r>
            <w:r>
              <w:rPr>
                <w:rFonts w:hint="default" w:ascii="宋体" w:hAnsi="宋体"/>
                <w:b/>
                <w:bCs/>
                <w:color w:val="auto"/>
                <w:kern w:val="0"/>
              </w:rPr>
              <w:t>）与《</w:t>
            </w:r>
            <w:r>
              <w:rPr>
                <w:rFonts w:hint="eastAsia" w:ascii="宋体" w:hAnsi="宋体"/>
                <w:b/>
                <w:bCs/>
                <w:color w:val="auto"/>
                <w:kern w:val="0"/>
              </w:rPr>
              <w:t>达州市</w:t>
            </w:r>
            <w:r>
              <w:rPr>
                <w:rFonts w:hint="default"/>
                <w:b/>
                <w:bCs/>
                <w:color w:val="auto"/>
                <w:kern w:val="0"/>
              </w:rPr>
              <w:t>“</w:t>
            </w:r>
            <w:r>
              <w:rPr>
                <w:rFonts w:hint="default" w:ascii="宋体" w:hAnsi="宋体"/>
                <w:b/>
                <w:bCs/>
                <w:color w:val="auto"/>
                <w:kern w:val="0"/>
              </w:rPr>
              <w:t>十四五</w:t>
            </w:r>
            <w:r>
              <w:rPr>
                <w:rFonts w:hint="default"/>
                <w:b/>
                <w:bCs/>
                <w:color w:val="auto"/>
                <w:kern w:val="0"/>
              </w:rPr>
              <w:t>”</w:t>
            </w:r>
            <w:r>
              <w:rPr>
                <w:rFonts w:hint="default" w:ascii="宋体" w:hAnsi="宋体"/>
                <w:b/>
                <w:bCs/>
                <w:color w:val="auto"/>
                <w:kern w:val="0"/>
              </w:rPr>
              <w:t>卫生健康发展规划》（达市府发〔</w:t>
            </w:r>
            <w:r>
              <w:rPr>
                <w:rFonts w:hint="default"/>
                <w:b/>
                <w:bCs/>
                <w:color w:val="auto"/>
                <w:kern w:val="0"/>
              </w:rPr>
              <w:t>2022</w:t>
            </w:r>
            <w:r>
              <w:rPr>
                <w:rFonts w:hint="default" w:ascii="宋体" w:hAnsi="宋体"/>
                <w:b/>
                <w:bCs/>
                <w:color w:val="auto"/>
                <w:kern w:val="0"/>
              </w:rPr>
              <w:t>〕</w:t>
            </w:r>
            <w:r>
              <w:rPr>
                <w:rFonts w:hint="default"/>
                <w:b/>
                <w:bCs/>
                <w:color w:val="auto"/>
                <w:kern w:val="0"/>
              </w:rPr>
              <w:t>11</w:t>
            </w:r>
            <w:r>
              <w:rPr>
                <w:rFonts w:hint="default" w:ascii="宋体" w:hAnsi="宋体"/>
                <w:b/>
                <w:bCs/>
                <w:color w:val="auto"/>
                <w:kern w:val="0"/>
              </w:rPr>
              <w:t>号）符合性分析</w:t>
            </w:r>
          </w:p>
          <w:p w14:paraId="7611DDC4">
            <w:pPr>
              <w:pStyle w:val="47"/>
              <w:keepNext w:val="0"/>
              <w:keepLines w:val="0"/>
              <w:suppressLineNumbers w:val="0"/>
              <w:spacing w:before="0" w:beforeAutospacing="0" w:after="0" w:afterAutospacing="0" w:line="400" w:lineRule="exact"/>
              <w:ind w:left="0" w:right="0"/>
              <w:jc w:val="center"/>
              <w:rPr>
                <w:rFonts w:hint="default" w:ascii="黑体" w:hAnsi="黑体" w:eastAsia="黑体" w:cs="Times New Roman"/>
                <w:color w:val="auto"/>
                <w:sz w:val="18"/>
                <w:szCs w:val="20"/>
              </w:rPr>
            </w:pPr>
          </w:p>
          <w:p w14:paraId="37AA05D9">
            <w:pPr>
              <w:pStyle w:val="47"/>
              <w:keepNext w:val="0"/>
              <w:keepLines w:val="0"/>
              <w:suppressLineNumbers w:val="0"/>
              <w:spacing w:before="0" w:beforeAutospacing="0" w:after="0" w:afterAutospacing="0" w:line="400" w:lineRule="exact"/>
              <w:ind w:left="0" w:right="0"/>
              <w:jc w:val="center"/>
              <w:rPr>
                <w:rFonts w:hint="default" w:ascii="黑体" w:hAnsi="黑体" w:eastAsia="黑体" w:cs="Times New Roman"/>
                <w:color w:val="auto"/>
                <w:sz w:val="18"/>
                <w:szCs w:val="20"/>
              </w:rPr>
            </w:pPr>
          </w:p>
          <w:p w14:paraId="3908195E">
            <w:pPr>
              <w:pStyle w:val="47"/>
              <w:keepNext w:val="0"/>
              <w:keepLines w:val="0"/>
              <w:suppressLineNumbers w:val="0"/>
              <w:spacing w:before="0" w:beforeAutospacing="0" w:after="0" w:afterAutospacing="0" w:line="400" w:lineRule="exact"/>
              <w:ind w:left="0" w:right="0"/>
              <w:jc w:val="center"/>
              <w:rPr>
                <w:rFonts w:hint="default" w:ascii="黑体" w:hAnsi="黑体" w:eastAsia="黑体" w:cs="Times New Roman"/>
                <w:color w:val="auto"/>
                <w:sz w:val="18"/>
                <w:szCs w:val="20"/>
              </w:rPr>
            </w:pPr>
          </w:p>
          <w:p w14:paraId="3FC9E7ED">
            <w:pPr>
              <w:pStyle w:val="47"/>
              <w:keepNext w:val="0"/>
              <w:keepLines w:val="0"/>
              <w:suppressLineNumbers w:val="0"/>
              <w:spacing w:before="0" w:beforeAutospacing="0" w:after="0" w:afterAutospacing="0" w:line="400" w:lineRule="exact"/>
              <w:ind w:left="0" w:right="0"/>
              <w:jc w:val="center"/>
              <w:rPr>
                <w:rFonts w:hint="default" w:ascii="黑体" w:hAnsi="黑体" w:eastAsia="黑体" w:cs="Times New Roman"/>
                <w:color w:val="auto"/>
                <w:sz w:val="18"/>
                <w:szCs w:val="20"/>
              </w:rPr>
            </w:pPr>
          </w:p>
          <w:p w14:paraId="302041EB">
            <w:pPr>
              <w:pStyle w:val="47"/>
              <w:keepNext w:val="0"/>
              <w:keepLines w:val="0"/>
              <w:suppressLineNumbers w:val="0"/>
              <w:spacing w:before="0" w:beforeAutospacing="0" w:after="0" w:afterAutospacing="0" w:line="400" w:lineRule="exact"/>
              <w:ind w:left="0" w:right="0"/>
              <w:jc w:val="center"/>
              <w:rPr>
                <w:rFonts w:hint="default" w:ascii="黑体" w:hAnsi="黑体" w:eastAsia="黑体" w:cs="Times New Roman"/>
                <w:color w:val="auto"/>
                <w:sz w:val="18"/>
                <w:szCs w:val="20"/>
              </w:rPr>
            </w:pPr>
          </w:p>
          <w:p w14:paraId="42E46C28">
            <w:pPr>
              <w:pStyle w:val="47"/>
              <w:keepNext w:val="0"/>
              <w:keepLines w:val="0"/>
              <w:suppressLineNumbers w:val="0"/>
              <w:spacing w:before="0" w:beforeAutospacing="0" w:after="0" w:afterAutospacing="0" w:line="400" w:lineRule="exact"/>
              <w:ind w:left="0" w:right="0"/>
              <w:jc w:val="center"/>
              <w:rPr>
                <w:rFonts w:hint="default" w:ascii="黑体" w:hAnsi="黑体" w:eastAsia="黑体" w:cs="Times New Roman"/>
                <w:color w:val="auto"/>
                <w:sz w:val="18"/>
                <w:szCs w:val="20"/>
              </w:rPr>
            </w:pPr>
          </w:p>
          <w:p w14:paraId="0065CB8D">
            <w:pPr>
              <w:pStyle w:val="47"/>
              <w:keepNext w:val="0"/>
              <w:keepLines w:val="0"/>
              <w:suppressLineNumbers w:val="0"/>
              <w:spacing w:before="0" w:beforeAutospacing="0" w:after="0" w:afterAutospacing="0" w:line="400" w:lineRule="exact"/>
              <w:ind w:left="0" w:right="0"/>
              <w:jc w:val="center"/>
              <w:rPr>
                <w:rFonts w:hint="default" w:ascii="黑体" w:hAnsi="黑体" w:eastAsia="黑体" w:cs="Times New Roman"/>
                <w:color w:val="auto"/>
                <w:sz w:val="18"/>
                <w:szCs w:val="20"/>
              </w:rPr>
            </w:pPr>
          </w:p>
          <w:p w14:paraId="40EFECA5">
            <w:pPr>
              <w:pStyle w:val="47"/>
              <w:keepNext w:val="0"/>
              <w:keepLines w:val="0"/>
              <w:suppressLineNumbers w:val="0"/>
              <w:spacing w:before="0" w:beforeAutospacing="0" w:after="0" w:afterAutospacing="0" w:line="400" w:lineRule="exact"/>
              <w:ind w:left="0" w:right="0"/>
              <w:jc w:val="center"/>
              <w:rPr>
                <w:rFonts w:hint="default" w:ascii="黑体" w:hAnsi="黑体" w:eastAsia="黑体" w:cs="Times New Roman"/>
                <w:color w:val="auto"/>
                <w:sz w:val="18"/>
                <w:szCs w:val="20"/>
              </w:rPr>
            </w:pPr>
          </w:p>
          <w:p w14:paraId="1C716B78">
            <w:pPr>
              <w:pStyle w:val="47"/>
              <w:keepNext w:val="0"/>
              <w:keepLines w:val="0"/>
              <w:suppressLineNumbers w:val="0"/>
              <w:spacing w:before="0" w:beforeAutospacing="0" w:after="0" w:afterAutospacing="0" w:line="400" w:lineRule="exact"/>
              <w:ind w:left="0" w:right="0"/>
              <w:jc w:val="center"/>
              <w:rPr>
                <w:rFonts w:hint="default" w:ascii="黑体" w:hAnsi="黑体" w:eastAsia="黑体" w:cs="Times New Roman"/>
                <w:color w:val="auto"/>
                <w:sz w:val="18"/>
                <w:szCs w:val="20"/>
              </w:rPr>
            </w:pPr>
          </w:p>
          <w:p w14:paraId="3EBEA3C5">
            <w:pPr>
              <w:pStyle w:val="47"/>
              <w:keepNext w:val="0"/>
              <w:keepLines w:val="0"/>
              <w:suppressLineNumbers w:val="0"/>
              <w:spacing w:before="0" w:beforeAutospacing="0" w:after="0" w:afterAutospacing="0" w:line="400" w:lineRule="exact"/>
              <w:ind w:left="0" w:right="0"/>
              <w:jc w:val="center"/>
              <w:rPr>
                <w:rFonts w:hint="default" w:ascii="Times New Roman" w:hAnsi="Times New Roman" w:eastAsia="黑体" w:cs="Times New Roman"/>
                <w:color w:val="auto"/>
                <w:sz w:val="18"/>
                <w:szCs w:val="20"/>
              </w:rPr>
            </w:pPr>
            <w:r>
              <w:rPr>
                <w:rFonts w:hint="default" w:ascii="黑体" w:hAnsi="黑体" w:eastAsia="黑体" w:cs="Times New Roman"/>
                <w:color w:val="auto"/>
                <w:sz w:val="18"/>
                <w:szCs w:val="20"/>
              </w:rPr>
              <w:t>表</w:t>
            </w:r>
            <w:r>
              <w:rPr>
                <w:rFonts w:hint="eastAsia" w:ascii="Times New Roman" w:hAnsi="Times New Roman" w:eastAsia="黑体" w:cs="Times New Roman"/>
                <w:color w:val="auto"/>
                <w:sz w:val="18"/>
                <w:szCs w:val="20"/>
              </w:rPr>
              <w:t>1-5</w:t>
            </w:r>
            <w:r>
              <w:rPr>
                <w:rFonts w:hint="default" w:ascii="Times New Roman" w:hAnsi="Times New Roman" w:eastAsia="黑体" w:cs="Times New Roman"/>
                <w:color w:val="auto"/>
                <w:sz w:val="18"/>
                <w:szCs w:val="20"/>
              </w:rPr>
              <w:t xml:space="preserve">   </w:t>
            </w:r>
            <w:r>
              <w:rPr>
                <w:rFonts w:hint="default" w:ascii="黑体" w:hAnsi="黑体" w:eastAsia="黑体" w:cs="Times New Roman"/>
                <w:color w:val="auto"/>
                <w:sz w:val="18"/>
                <w:szCs w:val="20"/>
              </w:rPr>
              <w:t>与达市府发〔</w:t>
            </w:r>
            <w:r>
              <w:rPr>
                <w:rFonts w:hint="default" w:ascii="Times New Roman" w:hAnsi="Times New Roman" w:eastAsia="黑体" w:cs="Times New Roman"/>
                <w:color w:val="auto"/>
                <w:sz w:val="18"/>
                <w:szCs w:val="20"/>
              </w:rPr>
              <w:t>2022</w:t>
            </w:r>
            <w:r>
              <w:rPr>
                <w:rFonts w:hint="default" w:ascii="黑体" w:hAnsi="黑体" w:eastAsia="黑体" w:cs="Times New Roman"/>
                <w:color w:val="auto"/>
                <w:sz w:val="18"/>
                <w:szCs w:val="20"/>
              </w:rPr>
              <w:t>〕</w:t>
            </w:r>
            <w:r>
              <w:rPr>
                <w:rFonts w:hint="default" w:ascii="Times New Roman" w:hAnsi="Times New Roman" w:eastAsia="黑体" w:cs="Times New Roman"/>
                <w:color w:val="auto"/>
                <w:sz w:val="18"/>
                <w:szCs w:val="20"/>
              </w:rPr>
              <w:t>11</w:t>
            </w:r>
            <w:r>
              <w:rPr>
                <w:rFonts w:hint="default" w:ascii="黑体" w:hAnsi="黑体" w:eastAsia="黑体" w:cs="Times New Roman"/>
                <w:color w:val="auto"/>
                <w:sz w:val="18"/>
                <w:szCs w:val="20"/>
              </w:rPr>
              <w:t>号的符合性分析</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3841"/>
              <w:gridCol w:w="1504"/>
              <w:gridCol w:w="613"/>
            </w:tblGrid>
            <w:tr w14:paraId="1942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4402" w:type="dxa"/>
                  <w:gridSpan w:val="2"/>
                  <w:tcBorders>
                    <w:top w:val="single" w:color="auto" w:sz="4" w:space="0"/>
                    <w:left w:val="single" w:color="auto" w:sz="4" w:space="0"/>
                    <w:bottom w:val="single" w:color="auto" w:sz="4" w:space="0"/>
                    <w:right w:val="single" w:color="auto" w:sz="4" w:space="0"/>
                  </w:tcBorders>
                  <w:vAlign w:val="center"/>
                </w:tcPr>
                <w:p w14:paraId="5F78EDA7">
                  <w:pPr>
                    <w:keepNext w:val="0"/>
                    <w:keepLines w:val="0"/>
                    <w:suppressLineNumbers w:val="0"/>
                    <w:autoSpaceDE w:val="0"/>
                    <w:autoSpaceDN w:val="0"/>
                    <w:adjustRightInd w:val="0"/>
                    <w:snapToGrid w:val="0"/>
                    <w:spacing w:before="0" w:beforeAutospacing="0" w:after="0" w:afterAutospacing="0" w:line="280" w:lineRule="exact"/>
                    <w:ind w:left="-84" w:leftChars="-40" w:right="-84" w:rightChars="-40"/>
                    <w:jc w:val="center"/>
                    <w:rPr>
                      <w:rFonts w:hint="default" w:ascii="宋体" w:hAnsi="宋体"/>
                      <w:b/>
                      <w:bCs/>
                      <w:color w:val="auto"/>
                      <w:kern w:val="0"/>
                      <w:sz w:val="18"/>
                      <w:szCs w:val="18"/>
                    </w:rPr>
                  </w:pPr>
                  <w:r>
                    <w:rPr>
                      <w:rFonts w:hint="eastAsia" w:ascii="宋体" w:hAnsi="宋体"/>
                      <w:b/>
                      <w:bCs/>
                      <w:color w:val="auto"/>
                      <w:kern w:val="0"/>
                      <w:sz w:val="18"/>
                      <w:szCs w:val="18"/>
                    </w:rPr>
                    <w:t>文件要求</w:t>
                  </w:r>
                </w:p>
              </w:tc>
              <w:tc>
                <w:tcPr>
                  <w:tcW w:w="1504" w:type="dxa"/>
                  <w:tcBorders>
                    <w:top w:val="single" w:color="auto" w:sz="4" w:space="0"/>
                    <w:left w:val="single" w:color="auto" w:sz="4" w:space="0"/>
                    <w:bottom w:val="single" w:color="auto" w:sz="4" w:space="0"/>
                    <w:right w:val="single" w:color="auto" w:sz="4" w:space="0"/>
                  </w:tcBorders>
                  <w:vAlign w:val="center"/>
                </w:tcPr>
                <w:p w14:paraId="493DB037">
                  <w:pPr>
                    <w:keepNext w:val="0"/>
                    <w:keepLines w:val="0"/>
                    <w:suppressLineNumbers w:val="0"/>
                    <w:autoSpaceDE w:val="0"/>
                    <w:autoSpaceDN w:val="0"/>
                    <w:adjustRightInd w:val="0"/>
                    <w:snapToGrid w:val="0"/>
                    <w:spacing w:before="0" w:beforeAutospacing="0" w:after="0" w:afterAutospacing="0" w:line="280" w:lineRule="exact"/>
                    <w:ind w:left="-84" w:leftChars="-40" w:right="-84" w:rightChars="-40"/>
                    <w:jc w:val="center"/>
                    <w:rPr>
                      <w:rFonts w:hint="default" w:ascii="宋体" w:hAnsi="宋体"/>
                      <w:b/>
                      <w:bCs/>
                      <w:color w:val="auto"/>
                      <w:kern w:val="0"/>
                      <w:sz w:val="18"/>
                      <w:szCs w:val="18"/>
                    </w:rPr>
                  </w:pPr>
                  <w:r>
                    <w:rPr>
                      <w:rFonts w:hint="eastAsia" w:ascii="宋体" w:hAnsi="宋体"/>
                      <w:b/>
                      <w:bCs/>
                      <w:color w:val="auto"/>
                      <w:kern w:val="0"/>
                      <w:sz w:val="18"/>
                      <w:szCs w:val="18"/>
                    </w:rPr>
                    <w:t>本项目</w:t>
                  </w:r>
                </w:p>
              </w:tc>
              <w:tc>
                <w:tcPr>
                  <w:tcW w:w="613" w:type="dxa"/>
                  <w:tcBorders>
                    <w:top w:val="single" w:color="auto" w:sz="4" w:space="0"/>
                    <w:left w:val="single" w:color="auto" w:sz="4" w:space="0"/>
                    <w:bottom w:val="single" w:color="auto" w:sz="4" w:space="0"/>
                    <w:right w:val="single" w:color="auto" w:sz="4" w:space="0"/>
                  </w:tcBorders>
                  <w:vAlign w:val="center"/>
                </w:tcPr>
                <w:p w14:paraId="1A6E2E4A">
                  <w:pPr>
                    <w:keepNext w:val="0"/>
                    <w:keepLines w:val="0"/>
                    <w:suppressLineNumbers w:val="0"/>
                    <w:autoSpaceDE w:val="0"/>
                    <w:autoSpaceDN w:val="0"/>
                    <w:adjustRightInd w:val="0"/>
                    <w:snapToGrid w:val="0"/>
                    <w:spacing w:before="0" w:beforeAutospacing="0" w:after="0" w:afterAutospacing="0" w:line="280" w:lineRule="exact"/>
                    <w:ind w:left="-84" w:leftChars="-40" w:right="-84" w:rightChars="-40"/>
                    <w:jc w:val="center"/>
                    <w:rPr>
                      <w:rFonts w:hint="default" w:ascii="宋体" w:hAnsi="宋体"/>
                      <w:b/>
                      <w:bCs/>
                      <w:color w:val="auto"/>
                      <w:kern w:val="0"/>
                      <w:sz w:val="18"/>
                      <w:szCs w:val="18"/>
                    </w:rPr>
                  </w:pPr>
                  <w:r>
                    <w:rPr>
                      <w:rFonts w:hint="eastAsia" w:ascii="宋体" w:hAnsi="宋体"/>
                      <w:b/>
                      <w:bCs/>
                      <w:color w:val="auto"/>
                      <w:kern w:val="0"/>
                      <w:sz w:val="18"/>
                      <w:szCs w:val="18"/>
                    </w:rPr>
                    <w:t>符合性</w:t>
                  </w:r>
                </w:p>
              </w:tc>
            </w:tr>
            <w:tr w14:paraId="7AE02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3" w:hRule="atLeast"/>
                <w:jc w:val="center"/>
              </w:trPr>
              <w:tc>
                <w:tcPr>
                  <w:tcW w:w="561" w:type="dxa"/>
                  <w:tcBorders>
                    <w:top w:val="single" w:color="auto" w:sz="4" w:space="0"/>
                    <w:left w:val="single" w:color="auto" w:sz="4" w:space="0"/>
                    <w:bottom w:val="single" w:color="auto" w:sz="4" w:space="0"/>
                    <w:right w:val="single" w:color="auto" w:sz="4" w:space="0"/>
                  </w:tcBorders>
                  <w:vAlign w:val="center"/>
                </w:tcPr>
                <w:p w14:paraId="0DE276E3">
                  <w:pPr>
                    <w:keepNext w:val="0"/>
                    <w:keepLines w:val="0"/>
                    <w:suppressLineNumbers w:val="0"/>
                    <w:autoSpaceDE w:val="0"/>
                    <w:autoSpaceDN w:val="0"/>
                    <w:adjustRightInd w:val="0"/>
                    <w:snapToGrid w:val="0"/>
                    <w:spacing w:before="0" w:beforeAutospacing="0" w:after="0" w:afterAutospacing="0" w:line="280" w:lineRule="exact"/>
                    <w:ind w:left="-84" w:leftChars="-40" w:right="-84" w:rightChars="-40"/>
                    <w:jc w:val="center"/>
                    <w:rPr>
                      <w:rFonts w:hint="default" w:ascii="宋体" w:hAnsi="宋体"/>
                      <w:color w:val="auto"/>
                      <w:kern w:val="0"/>
                      <w:sz w:val="18"/>
                      <w:szCs w:val="18"/>
                    </w:rPr>
                  </w:pPr>
                  <w:r>
                    <w:rPr>
                      <w:rFonts w:hint="eastAsia" w:ascii="宋体" w:hAnsi="宋体"/>
                      <w:color w:val="auto"/>
                      <w:kern w:val="0"/>
                      <w:sz w:val="18"/>
                      <w:szCs w:val="18"/>
                    </w:rPr>
                    <w:t>创新医防协同机制</w:t>
                  </w:r>
                </w:p>
              </w:tc>
              <w:tc>
                <w:tcPr>
                  <w:tcW w:w="3841" w:type="dxa"/>
                  <w:tcBorders>
                    <w:top w:val="single" w:color="auto" w:sz="4" w:space="0"/>
                    <w:left w:val="single" w:color="auto" w:sz="4" w:space="0"/>
                    <w:bottom w:val="single" w:color="auto" w:sz="4" w:space="0"/>
                    <w:right w:val="single" w:color="auto" w:sz="4" w:space="0"/>
                  </w:tcBorders>
                  <w:vAlign w:val="center"/>
                </w:tcPr>
                <w:p w14:paraId="6806C27A">
                  <w:pPr>
                    <w:keepNext w:val="0"/>
                    <w:keepLines w:val="0"/>
                    <w:suppressLineNumbers w:val="0"/>
                    <w:autoSpaceDE w:val="0"/>
                    <w:autoSpaceDN w:val="0"/>
                    <w:adjustRightInd w:val="0"/>
                    <w:snapToGrid w:val="0"/>
                    <w:spacing w:before="0" w:beforeAutospacing="0" w:after="0" w:afterAutospacing="0" w:line="300" w:lineRule="exact"/>
                    <w:ind w:left="-84" w:leftChars="-40" w:right="-84" w:rightChars="-40"/>
                    <w:jc w:val="left"/>
                    <w:rPr>
                      <w:rFonts w:hint="default" w:ascii="宋体" w:hAnsi="宋体"/>
                      <w:color w:val="auto"/>
                      <w:kern w:val="0"/>
                      <w:sz w:val="18"/>
                      <w:szCs w:val="18"/>
                    </w:rPr>
                  </w:pPr>
                  <w:r>
                    <w:rPr>
                      <w:rFonts w:hint="eastAsia" w:ascii="宋体" w:hAnsi="宋体"/>
                      <w:color w:val="auto"/>
                      <w:kern w:val="0"/>
                      <w:sz w:val="18"/>
                      <w:szCs w:val="18"/>
                    </w:rPr>
                    <w:t>完善专业公共卫生机构、综合性医院和专科医院、基层医疗卫生机构“三位一体”的重大疾病防控机制，全面推进医疗机构和专业公共卫生机构的深度协作，建立完善人员通、信息通、资源通和相互监督监管制约的机制，推进疾病三级预防和连续管理。</w:t>
                  </w:r>
                </w:p>
              </w:tc>
              <w:tc>
                <w:tcPr>
                  <w:tcW w:w="1504" w:type="dxa"/>
                  <w:tcBorders>
                    <w:top w:val="single" w:color="auto" w:sz="4" w:space="0"/>
                    <w:left w:val="single" w:color="auto" w:sz="4" w:space="0"/>
                    <w:bottom w:val="single" w:color="auto" w:sz="4" w:space="0"/>
                    <w:right w:val="single" w:color="auto" w:sz="4" w:space="0"/>
                  </w:tcBorders>
                  <w:vAlign w:val="center"/>
                </w:tcPr>
                <w:p w14:paraId="403C4CEE">
                  <w:pPr>
                    <w:keepNext w:val="0"/>
                    <w:keepLines w:val="0"/>
                    <w:suppressLineNumbers w:val="0"/>
                    <w:autoSpaceDE w:val="0"/>
                    <w:autoSpaceDN w:val="0"/>
                    <w:adjustRightInd w:val="0"/>
                    <w:snapToGrid w:val="0"/>
                    <w:spacing w:before="0" w:beforeAutospacing="0" w:after="0" w:afterAutospacing="0" w:line="300" w:lineRule="exact"/>
                    <w:ind w:left="-84" w:leftChars="-40" w:right="-84" w:rightChars="-40"/>
                    <w:rPr>
                      <w:rFonts w:hint="default" w:ascii="宋体" w:hAnsi="宋体"/>
                      <w:color w:val="auto"/>
                      <w:kern w:val="0"/>
                      <w:sz w:val="18"/>
                      <w:szCs w:val="18"/>
                    </w:rPr>
                  </w:pPr>
                  <w:r>
                    <w:rPr>
                      <w:rFonts w:hint="eastAsia" w:ascii="宋体" w:hAnsi="宋体"/>
                      <w:color w:val="auto"/>
                      <w:kern w:val="0"/>
                      <w:sz w:val="18"/>
                      <w:szCs w:val="18"/>
                    </w:rPr>
                    <w:t>本项目为民营综合医院，有利于建立完善区域人员通、信息通、资源通和相互监督监管制约的机制。</w:t>
                  </w:r>
                </w:p>
              </w:tc>
              <w:tc>
                <w:tcPr>
                  <w:tcW w:w="613" w:type="dxa"/>
                  <w:tcBorders>
                    <w:top w:val="single" w:color="auto" w:sz="4" w:space="0"/>
                    <w:left w:val="single" w:color="auto" w:sz="4" w:space="0"/>
                    <w:bottom w:val="single" w:color="auto" w:sz="4" w:space="0"/>
                    <w:right w:val="single" w:color="auto" w:sz="4" w:space="0"/>
                  </w:tcBorders>
                  <w:vAlign w:val="center"/>
                </w:tcPr>
                <w:p w14:paraId="5EB4D6F1">
                  <w:pPr>
                    <w:keepNext w:val="0"/>
                    <w:keepLines w:val="0"/>
                    <w:suppressLineNumbers w:val="0"/>
                    <w:autoSpaceDE w:val="0"/>
                    <w:autoSpaceDN w:val="0"/>
                    <w:adjustRightInd w:val="0"/>
                    <w:snapToGrid w:val="0"/>
                    <w:spacing w:before="0" w:beforeAutospacing="0" w:after="0" w:afterAutospacing="0" w:line="280" w:lineRule="exact"/>
                    <w:ind w:left="-84" w:leftChars="-40" w:right="-84" w:rightChars="-40"/>
                    <w:jc w:val="center"/>
                    <w:rPr>
                      <w:rFonts w:hint="default" w:ascii="宋体" w:hAnsi="宋体"/>
                      <w:color w:val="auto"/>
                      <w:kern w:val="0"/>
                      <w:sz w:val="18"/>
                      <w:szCs w:val="18"/>
                    </w:rPr>
                  </w:pPr>
                  <w:r>
                    <w:rPr>
                      <w:rFonts w:hint="eastAsia" w:ascii="宋体" w:hAnsi="宋体"/>
                      <w:color w:val="auto"/>
                      <w:kern w:val="0"/>
                      <w:sz w:val="18"/>
                      <w:szCs w:val="18"/>
                    </w:rPr>
                    <w:t>符合</w:t>
                  </w:r>
                </w:p>
              </w:tc>
            </w:tr>
            <w:tr w14:paraId="5BC4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7" w:hRule="atLeast"/>
                <w:jc w:val="center"/>
              </w:trPr>
              <w:tc>
                <w:tcPr>
                  <w:tcW w:w="561" w:type="dxa"/>
                  <w:tcBorders>
                    <w:top w:val="single" w:color="auto" w:sz="4" w:space="0"/>
                    <w:left w:val="single" w:color="auto" w:sz="4" w:space="0"/>
                    <w:bottom w:val="single" w:color="auto" w:sz="4" w:space="0"/>
                    <w:right w:val="single" w:color="auto" w:sz="4" w:space="0"/>
                  </w:tcBorders>
                  <w:vAlign w:val="center"/>
                </w:tcPr>
                <w:p w14:paraId="2C9BC2A2">
                  <w:pPr>
                    <w:keepNext w:val="0"/>
                    <w:keepLines w:val="0"/>
                    <w:suppressLineNumbers w:val="0"/>
                    <w:autoSpaceDE w:val="0"/>
                    <w:autoSpaceDN w:val="0"/>
                    <w:adjustRightInd w:val="0"/>
                    <w:snapToGrid w:val="0"/>
                    <w:spacing w:before="0" w:beforeAutospacing="0" w:after="0" w:afterAutospacing="0" w:line="280" w:lineRule="exact"/>
                    <w:ind w:left="-84" w:leftChars="-40" w:right="-84" w:rightChars="-40"/>
                    <w:jc w:val="center"/>
                    <w:rPr>
                      <w:rFonts w:hint="default" w:ascii="宋体" w:hAnsi="宋体"/>
                      <w:color w:val="auto"/>
                      <w:kern w:val="0"/>
                      <w:sz w:val="18"/>
                      <w:szCs w:val="18"/>
                    </w:rPr>
                  </w:pPr>
                  <w:r>
                    <w:rPr>
                      <w:rFonts w:hint="eastAsia" w:ascii="宋体" w:hAnsi="宋体"/>
                      <w:color w:val="auto"/>
                      <w:kern w:val="0"/>
                      <w:sz w:val="18"/>
                      <w:szCs w:val="18"/>
                    </w:rPr>
                    <w:t>促进社会办医高质量发展</w:t>
                  </w:r>
                </w:p>
              </w:tc>
              <w:tc>
                <w:tcPr>
                  <w:tcW w:w="3841" w:type="dxa"/>
                  <w:tcBorders>
                    <w:top w:val="single" w:color="auto" w:sz="4" w:space="0"/>
                    <w:left w:val="single" w:color="auto" w:sz="4" w:space="0"/>
                    <w:bottom w:val="single" w:color="auto" w:sz="4" w:space="0"/>
                    <w:right w:val="single" w:color="auto" w:sz="4" w:space="0"/>
                  </w:tcBorders>
                  <w:vAlign w:val="center"/>
                </w:tcPr>
                <w:p w14:paraId="07BD7F04">
                  <w:pPr>
                    <w:keepNext w:val="0"/>
                    <w:keepLines w:val="0"/>
                    <w:suppressLineNumbers w:val="0"/>
                    <w:autoSpaceDE w:val="0"/>
                    <w:autoSpaceDN w:val="0"/>
                    <w:adjustRightInd w:val="0"/>
                    <w:snapToGrid w:val="0"/>
                    <w:spacing w:before="0" w:beforeAutospacing="0" w:after="0" w:afterAutospacing="0" w:line="300" w:lineRule="exact"/>
                    <w:ind w:left="-84" w:leftChars="-40" w:right="-84" w:rightChars="-40"/>
                    <w:jc w:val="left"/>
                    <w:rPr>
                      <w:rFonts w:hint="default" w:ascii="宋体" w:hAnsi="宋体"/>
                      <w:color w:val="auto"/>
                      <w:kern w:val="0"/>
                      <w:sz w:val="18"/>
                      <w:szCs w:val="18"/>
                    </w:rPr>
                  </w:pPr>
                  <w:r>
                    <w:rPr>
                      <w:rFonts w:hint="eastAsia" w:ascii="宋体" w:hAnsi="宋体"/>
                      <w:color w:val="auto"/>
                      <w:kern w:val="0"/>
                      <w:sz w:val="18"/>
                      <w:szCs w:val="18"/>
                    </w:rPr>
                    <w:t>进一步完善政策，支持社会力量举办非营利性医疗卫生机构，推进非营利性民营医院与公立医院同等待遇。持续深化“放管服”改革、优化营商环境，深入推进“一网通办”前提下“最多跑一次”改革，推动“跨省通办”“川渝通办”，营造良好的社会办医环境。支持社会力量在医疗资源薄弱区域和妇儿、康复、肿瘤、老年、护理等短缺领域举办非营利性医疗机构。引导社会力量举办成规模、上档次医院，重点引进肿瘤、心脑血管疾病、肾脏疾病、妇儿、口腔等品牌专科医院。支持高水平民营医院发展，支持通川元达联合医院、达州南方医院、达州骨科医院等现有优质民营医院提档升级，建设培育为三级医院。。</w:t>
                  </w:r>
                </w:p>
              </w:tc>
              <w:tc>
                <w:tcPr>
                  <w:tcW w:w="1504" w:type="dxa"/>
                  <w:tcBorders>
                    <w:top w:val="single" w:color="auto" w:sz="4" w:space="0"/>
                    <w:left w:val="single" w:color="auto" w:sz="4" w:space="0"/>
                    <w:bottom w:val="single" w:color="auto" w:sz="4" w:space="0"/>
                    <w:right w:val="single" w:color="auto" w:sz="4" w:space="0"/>
                  </w:tcBorders>
                  <w:vAlign w:val="center"/>
                </w:tcPr>
                <w:p w14:paraId="6661DF6C">
                  <w:pPr>
                    <w:keepNext w:val="0"/>
                    <w:keepLines w:val="0"/>
                    <w:suppressLineNumbers w:val="0"/>
                    <w:autoSpaceDE w:val="0"/>
                    <w:autoSpaceDN w:val="0"/>
                    <w:adjustRightInd w:val="0"/>
                    <w:snapToGrid w:val="0"/>
                    <w:spacing w:before="0" w:beforeAutospacing="0" w:after="0" w:afterAutospacing="0" w:line="300" w:lineRule="exact"/>
                    <w:ind w:left="-84" w:leftChars="-40" w:right="-84" w:rightChars="-40"/>
                    <w:rPr>
                      <w:rFonts w:hint="default" w:ascii="宋体" w:hAnsi="宋体"/>
                      <w:color w:val="auto"/>
                      <w:kern w:val="0"/>
                      <w:sz w:val="18"/>
                      <w:szCs w:val="18"/>
                    </w:rPr>
                  </w:pPr>
                  <w:r>
                    <w:rPr>
                      <w:rFonts w:hint="eastAsia" w:ascii="宋体" w:hAnsi="宋体"/>
                      <w:color w:val="auto"/>
                      <w:kern w:val="0"/>
                      <w:sz w:val="18"/>
                      <w:szCs w:val="18"/>
                    </w:rPr>
                    <w:t>本项目为民营医疗机构，设立床位80张，具有一定规模，能够及时为附近居民提供良好的医疗服务，缩短附近居民的就医时间。</w:t>
                  </w:r>
                </w:p>
              </w:tc>
              <w:tc>
                <w:tcPr>
                  <w:tcW w:w="613" w:type="dxa"/>
                  <w:tcBorders>
                    <w:top w:val="single" w:color="auto" w:sz="4" w:space="0"/>
                    <w:left w:val="single" w:color="auto" w:sz="4" w:space="0"/>
                    <w:bottom w:val="single" w:color="auto" w:sz="4" w:space="0"/>
                    <w:right w:val="single" w:color="auto" w:sz="4" w:space="0"/>
                  </w:tcBorders>
                  <w:vAlign w:val="center"/>
                </w:tcPr>
                <w:p w14:paraId="3853EC76">
                  <w:pPr>
                    <w:keepNext w:val="0"/>
                    <w:keepLines w:val="0"/>
                    <w:suppressLineNumbers w:val="0"/>
                    <w:autoSpaceDE w:val="0"/>
                    <w:autoSpaceDN w:val="0"/>
                    <w:adjustRightInd w:val="0"/>
                    <w:snapToGrid w:val="0"/>
                    <w:spacing w:before="0" w:beforeAutospacing="0" w:after="0" w:afterAutospacing="0" w:line="280" w:lineRule="exact"/>
                    <w:ind w:left="-84" w:leftChars="-40" w:right="-84" w:rightChars="-40"/>
                    <w:jc w:val="center"/>
                    <w:rPr>
                      <w:rFonts w:hint="default" w:ascii="宋体" w:hAnsi="宋体"/>
                      <w:color w:val="auto"/>
                      <w:kern w:val="0"/>
                      <w:sz w:val="18"/>
                      <w:szCs w:val="18"/>
                    </w:rPr>
                  </w:pPr>
                  <w:r>
                    <w:rPr>
                      <w:rFonts w:hint="eastAsia" w:ascii="宋体" w:hAnsi="宋体"/>
                      <w:color w:val="auto"/>
                      <w:kern w:val="0"/>
                      <w:sz w:val="18"/>
                      <w:szCs w:val="18"/>
                    </w:rPr>
                    <w:t>符合</w:t>
                  </w:r>
                </w:p>
              </w:tc>
            </w:tr>
          </w:tbl>
          <w:p w14:paraId="5D3E8F18">
            <w:pPr>
              <w:keepNext w:val="0"/>
              <w:keepLines w:val="0"/>
              <w:pageBreakBefore w:val="0"/>
              <w:widowControl w:val="0"/>
              <w:suppressLineNumbers w:val="0"/>
              <w:kinsoku/>
              <w:wordWrap/>
              <w:overflowPunct/>
              <w:topLinePunct w:val="0"/>
              <w:bidi w:val="0"/>
              <w:spacing w:before="0" w:beforeAutospacing="0" w:after="0" w:afterAutospacing="0" w:line="380" w:lineRule="exact"/>
              <w:ind w:left="0" w:right="0" w:firstLine="420" w:firstLineChars="200"/>
              <w:textAlignment w:val="auto"/>
              <w:rPr>
                <w:rFonts w:hint="default"/>
                <w:color w:val="auto"/>
                <w:szCs w:val="21"/>
              </w:rPr>
            </w:pPr>
            <w:r>
              <w:rPr>
                <w:rFonts w:hint="eastAsia" w:ascii="宋体" w:hAnsi="宋体"/>
                <w:color w:val="auto"/>
                <w:kern w:val="0"/>
              </w:rPr>
              <w:t>本项目为民营综合医院建设项目，符合《达州市“十四五”卫生健康发展规划》（达市府发〔</w:t>
            </w:r>
            <w:r>
              <w:rPr>
                <w:rFonts w:hint="eastAsia"/>
                <w:color w:val="auto"/>
                <w:kern w:val="0"/>
              </w:rPr>
              <w:t>2022</w:t>
            </w:r>
            <w:r>
              <w:rPr>
                <w:rFonts w:hint="eastAsia" w:ascii="宋体" w:hAnsi="宋体"/>
                <w:color w:val="auto"/>
                <w:kern w:val="0"/>
              </w:rPr>
              <w:t>〕</w:t>
            </w:r>
            <w:r>
              <w:rPr>
                <w:rFonts w:hint="eastAsia"/>
                <w:color w:val="auto"/>
                <w:kern w:val="0"/>
              </w:rPr>
              <w:t>11</w:t>
            </w:r>
            <w:r>
              <w:rPr>
                <w:rFonts w:hint="eastAsia" w:ascii="宋体" w:hAnsi="宋体"/>
                <w:color w:val="auto"/>
                <w:kern w:val="0"/>
              </w:rPr>
              <w:t>号）。</w:t>
            </w:r>
          </w:p>
          <w:p w14:paraId="38F5B92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80" w:lineRule="exact"/>
              <w:ind w:left="-53" w:leftChars="-25" w:right="-53" w:rightChars="-25"/>
              <w:jc w:val="left"/>
              <w:textAlignment w:val="auto"/>
              <w:rPr>
                <w:rFonts w:hint="default" w:eastAsia="黑体" w:cs="宋体"/>
                <w:bCs/>
                <w:color w:val="auto"/>
                <w:szCs w:val="21"/>
              </w:rPr>
            </w:pPr>
            <w:r>
              <w:rPr>
                <w:rFonts w:hint="eastAsia" w:eastAsia="黑体"/>
                <w:bCs/>
                <w:color w:val="auto"/>
              </w:rPr>
              <w:t>5</w:t>
            </w:r>
            <w:r>
              <w:rPr>
                <w:rFonts w:hint="default" w:ascii="黑体" w:hAnsi="黑体" w:eastAsia="黑体" w:cs="宋体"/>
                <w:bCs/>
                <w:color w:val="auto"/>
              </w:rPr>
              <w:t>、外环境关系与选址合理性分析</w:t>
            </w:r>
          </w:p>
          <w:p w14:paraId="5FA4FBB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left"/>
              <w:textAlignment w:val="auto"/>
              <w:rPr>
                <w:rFonts w:hint="default" w:cs="宋体"/>
                <w:b/>
                <w:color w:val="auto"/>
                <w:kern w:val="0"/>
              </w:rPr>
            </w:pPr>
            <w:r>
              <w:rPr>
                <w:rFonts w:hint="eastAsia" w:cs="宋体"/>
                <w:b/>
                <w:color w:val="auto"/>
                <w:kern w:val="0"/>
              </w:rPr>
              <w:t>（1）外环境关系</w:t>
            </w:r>
          </w:p>
          <w:p w14:paraId="5AF9F13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auto"/>
              <w:rPr>
                <w:rFonts w:hint="default" w:cs="宋体"/>
                <w:color w:val="auto"/>
                <w:kern w:val="0"/>
              </w:rPr>
            </w:pPr>
            <w:r>
              <w:rPr>
                <w:rFonts w:hint="eastAsia" w:cs="宋体"/>
                <w:color w:val="auto"/>
                <w:kern w:val="0"/>
              </w:rPr>
              <w:t>本项目选址于通川区罗江镇高石社区二组，系租用达州市德源健康管理服务有限公司闲置的医疗用房建设。</w:t>
            </w:r>
          </w:p>
          <w:p w14:paraId="5ABFA91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auto"/>
              <w:rPr>
                <w:rFonts w:hint="default" w:cs="宋体"/>
                <w:color w:val="auto"/>
                <w:kern w:val="0"/>
              </w:rPr>
            </w:pPr>
            <w:r>
              <w:rPr>
                <w:rFonts w:hint="eastAsia" w:cs="宋体"/>
                <w:color w:val="auto"/>
                <w:kern w:val="0"/>
              </w:rPr>
              <w:t>项目东面临山坡且地势较高；东南面相距约55~110m有15户住户，不在项目可视范围内；东南面相距约150m处为通川区罗江八一希望学校。项目南面大门外相距约90~180m处有4户住户。项目西南面相距约60~160m处有7户住户。项目西面为德源医养中心露天活动区，围墙外与项目相距约70m处有16户住户。项目北面紧邻德源医养中心的养老楼，两栋楼之间有连廊接通。与项目有关的地表水体为东面的魏家河，相距约270m；魏家河向南流经750m后汇入州河。本项目与州河直线距离约470m。</w:t>
            </w:r>
          </w:p>
          <w:p w14:paraId="7A3E864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firstLine="422" w:firstLineChars="200"/>
              <w:jc w:val="left"/>
              <w:textAlignment w:val="auto"/>
              <w:rPr>
                <w:rFonts w:hint="default" w:ascii="宋体" w:hAnsi="宋体" w:cs="宋体"/>
                <w:b/>
                <w:color w:val="auto"/>
                <w:kern w:val="0"/>
              </w:rPr>
            </w:pPr>
            <w:r>
              <w:rPr>
                <w:rFonts w:hint="default" w:ascii="宋体" w:hAnsi="宋体" w:cs="宋体"/>
                <w:b/>
                <w:color w:val="auto"/>
                <w:kern w:val="0"/>
              </w:rPr>
              <w:t>（</w:t>
            </w:r>
            <w:r>
              <w:rPr>
                <w:rFonts w:hint="eastAsia" w:ascii="宋体" w:hAnsi="宋体" w:cs="宋体"/>
                <w:b/>
                <w:color w:val="auto"/>
                <w:kern w:val="0"/>
              </w:rPr>
              <w:t>2</w:t>
            </w:r>
            <w:r>
              <w:rPr>
                <w:rFonts w:hint="default" w:ascii="宋体" w:hAnsi="宋体" w:cs="宋体"/>
                <w:b/>
                <w:color w:val="auto"/>
                <w:kern w:val="0"/>
              </w:rPr>
              <w:t>）选址合理性分析</w:t>
            </w:r>
          </w:p>
          <w:p w14:paraId="6857A9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auto"/>
              <w:rPr>
                <w:rFonts w:hint="default" w:cs="宋体"/>
                <w:color w:val="auto"/>
                <w:kern w:val="0"/>
              </w:rPr>
            </w:pPr>
            <w:r>
              <w:rPr>
                <w:rFonts w:hint="default" w:ascii="宋体" w:hAnsi="宋体" w:cs="宋体"/>
                <w:color w:val="auto"/>
                <w:kern w:val="0"/>
              </w:rPr>
              <w:t>项目</w:t>
            </w:r>
            <w:r>
              <w:rPr>
                <w:rFonts w:hint="eastAsia" w:ascii="宋体" w:hAnsi="宋体" w:cs="宋体"/>
                <w:color w:val="auto"/>
                <w:kern w:val="0"/>
              </w:rPr>
              <w:t>位于</w:t>
            </w:r>
            <w:r>
              <w:rPr>
                <w:rFonts w:hint="eastAsia" w:ascii="宋体" w:hAnsi="宋体"/>
                <w:color w:val="auto"/>
                <w:kern w:val="0"/>
              </w:rPr>
              <w:t>达州市通川区</w:t>
            </w:r>
            <w:r>
              <w:rPr>
                <w:rFonts w:hint="eastAsia" w:cs="宋体"/>
                <w:color w:val="auto"/>
                <w:kern w:val="0"/>
              </w:rPr>
              <w:t>罗江镇高石社区二组</w:t>
            </w:r>
            <w:r>
              <w:rPr>
                <w:rFonts w:hint="default" w:ascii="宋体" w:hAnsi="宋体" w:cs="宋体"/>
                <w:color w:val="auto"/>
                <w:kern w:val="0"/>
              </w:rPr>
              <w:t>，选址合理性分析如下：</w:t>
            </w:r>
          </w:p>
          <w:p w14:paraId="7DFC83B1">
            <w:pPr>
              <w:keepNext w:val="0"/>
              <w:keepLines w:val="0"/>
              <w:suppressLineNumbers w:val="0"/>
              <w:wordWrap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rPr>
            </w:pPr>
            <w:r>
              <w:rPr>
                <w:rFonts w:hint="default" w:ascii="宋体" w:hAnsi="宋体" w:cs="宋体"/>
                <w:color w:val="auto"/>
                <w:kern w:val="0"/>
              </w:rPr>
              <w:t>①本</w:t>
            </w:r>
            <w:r>
              <w:rPr>
                <w:rFonts w:hint="eastAsia" w:ascii="宋体" w:hAnsi="宋体"/>
                <w:color w:val="auto"/>
                <w:kern w:val="0"/>
              </w:rPr>
              <w:t>项目的建设已经过主管部门批准，取得了达州市通川区卫生健康局颁发的《医疗机构执业许可证》（登记号</w:t>
            </w:r>
            <w:r>
              <w:rPr>
                <w:rFonts w:hint="eastAsia"/>
                <w:color w:val="auto"/>
                <w:kern w:val="0"/>
              </w:rPr>
              <w:t>PDY</w:t>
            </w:r>
            <w:r>
              <w:rPr>
                <w:rFonts w:hint="eastAsia" w:cs="宋体"/>
                <w:color w:val="auto"/>
                <w:szCs w:val="21"/>
              </w:rPr>
              <w:t>10209-351170017A2102</w:t>
            </w:r>
            <w:r>
              <w:rPr>
                <w:rFonts w:hint="eastAsia" w:ascii="宋体" w:hAnsi="宋体"/>
                <w:color w:val="auto"/>
                <w:kern w:val="0"/>
              </w:rPr>
              <w:t>）。</w:t>
            </w:r>
          </w:p>
          <w:p w14:paraId="3A33C433">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rPr>
                <w:rFonts w:hint="eastAsia" w:ascii="宋体" w:hAnsi="宋体"/>
                <w:color w:val="auto"/>
                <w:kern w:val="0"/>
              </w:rPr>
            </w:pPr>
            <w:r>
              <w:rPr>
                <w:rFonts w:hint="eastAsia" w:ascii="宋体" w:hAnsi="宋体"/>
                <w:color w:val="auto"/>
                <w:kern w:val="0"/>
              </w:rPr>
              <w:t>②项目建设影响区范围不涉及特殊环境敏感目标。项目建设区属于城市建成区，评价范围内不涉及自然保护区、风景名胜区、基本农田等特殊环境敏感目标。</w:t>
            </w:r>
          </w:p>
          <w:p w14:paraId="392D9B4B">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rPr>
                <w:rFonts w:hint="default" w:ascii="宋体" w:hAnsi="宋体"/>
                <w:color w:val="auto"/>
                <w:kern w:val="0"/>
              </w:rPr>
            </w:pPr>
            <w:r>
              <w:rPr>
                <w:rFonts w:hint="eastAsia" w:ascii="宋体" w:hAnsi="宋体"/>
                <w:color w:val="auto"/>
                <w:kern w:val="0"/>
              </w:rPr>
              <w:t>根据达州市人民政府《关于通川区乡镇集中式饮用水源地保护区划定调整的批复》（达市府函﹝2019﹞165号），罗江镇州河山柳社区饮用水源于州河取水，</w:t>
            </w:r>
            <w:r>
              <w:rPr>
                <w:rFonts w:hint="eastAsia" w:ascii="宋体" w:hAnsi="宋体"/>
                <w:color w:val="auto"/>
                <w:kern w:val="0"/>
                <w:lang w:val="en-US" w:eastAsia="zh-CN"/>
              </w:rPr>
              <w:t>取水口坐标（107°31′55″,31°18′17″），饮用水源保护区</w:t>
            </w:r>
            <w:r>
              <w:rPr>
                <w:rFonts w:hint="eastAsia" w:ascii="宋体" w:hAnsi="宋体"/>
                <w:color w:val="auto"/>
                <w:kern w:val="0"/>
              </w:rPr>
              <w:t>陆域</w:t>
            </w:r>
            <w:r>
              <w:rPr>
                <w:rFonts w:hint="eastAsia" w:ascii="宋体" w:hAnsi="宋体"/>
                <w:color w:val="auto"/>
                <w:kern w:val="0"/>
                <w:lang w:val="en-US" w:eastAsia="zh-CN"/>
              </w:rPr>
              <w:t>范围</w:t>
            </w:r>
            <w:r>
              <w:rPr>
                <w:rFonts w:hint="eastAsia" w:ascii="宋体" w:hAnsi="宋体"/>
                <w:color w:val="auto"/>
                <w:kern w:val="0"/>
              </w:rPr>
              <w:t>为河岸两侧纵深200m的区域。</w:t>
            </w:r>
            <w:r>
              <w:rPr>
                <w:rFonts w:hint="eastAsia" w:ascii="宋体" w:hAnsi="宋体"/>
                <w:color w:val="auto"/>
                <w:kern w:val="0"/>
                <w:lang w:val="en-US" w:eastAsia="zh-CN"/>
              </w:rPr>
              <w:t>本项目距离州河河岸450m，与</w:t>
            </w:r>
            <w:r>
              <w:rPr>
                <w:rFonts w:hint="eastAsia" w:ascii="宋体" w:hAnsi="宋体"/>
                <w:color w:val="auto"/>
                <w:kern w:val="0"/>
              </w:rPr>
              <w:t>罗江镇州河山柳社区一级保护区陆域最近距离约</w:t>
            </w:r>
            <w:r>
              <w:rPr>
                <w:rFonts w:hint="eastAsia" w:ascii="宋体" w:hAnsi="宋体"/>
                <w:color w:val="auto"/>
                <w:kern w:val="0"/>
                <w:lang w:val="en-US" w:eastAsia="zh-CN"/>
              </w:rPr>
              <w:t>250</w:t>
            </w:r>
            <w:r>
              <w:rPr>
                <w:rFonts w:hint="eastAsia" w:ascii="宋体" w:hAnsi="宋体"/>
                <w:color w:val="auto"/>
                <w:kern w:val="0"/>
              </w:rPr>
              <w:t>m</w:t>
            </w:r>
            <w:r>
              <w:rPr>
                <w:rFonts w:hint="eastAsia" w:ascii="宋体" w:hAnsi="宋体"/>
                <w:color w:val="auto"/>
                <w:kern w:val="0"/>
                <w:lang w:eastAsia="zh-CN"/>
              </w:rPr>
              <w:t>，</w:t>
            </w:r>
            <w:r>
              <w:rPr>
                <w:rFonts w:hint="eastAsia" w:ascii="宋体" w:hAnsi="宋体"/>
                <w:color w:val="auto"/>
                <w:kern w:val="0"/>
              </w:rPr>
              <w:t>不</w:t>
            </w:r>
            <w:r>
              <w:rPr>
                <w:rFonts w:hint="eastAsia" w:ascii="宋体" w:hAnsi="宋体"/>
                <w:color w:val="auto"/>
                <w:kern w:val="0"/>
                <w:lang w:val="en-US" w:eastAsia="zh-CN"/>
              </w:rPr>
              <w:t>属于</w:t>
            </w:r>
            <w:r>
              <w:rPr>
                <w:rFonts w:hint="eastAsia" w:ascii="宋体" w:hAnsi="宋体"/>
                <w:color w:val="auto"/>
                <w:kern w:val="0"/>
              </w:rPr>
              <w:t>饮用水源保护区。</w:t>
            </w:r>
          </w:p>
          <w:p w14:paraId="57F560F1">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rPr>
            </w:pPr>
            <w:r>
              <w:rPr>
                <w:rFonts w:hint="eastAsia" w:ascii="宋体" w:hAnsi="宋体"/>
                <w:color w:val="auto"/>
                <w:kern w:val="0"/>
              </w:rPr>
              <w:t>③与《综合医院建设标准》的选址符合性</w:t>
            </w:r>
          </w:p>
          <w:p w14:paraId="12E64B20">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rPr>
            </w:pPr>
            <w:r>
              <w:rPr>
                <w:rFonts w:hint="eastAsia" w:ascii="宋体" w:hAnsi="宋体"/>
                <w:color w:val="auto"/>
                <w:kern w:val="0"/>
              </w:rPr>
              <w:t>本项目属于综合医院建设项目，其与《综合医院建设标准》（建标〔</w:t>
            </w:r>
            <w:r>
              <w:rPr>
                <w:rFonts w:hint="eastAsia"/>
                <w:color w:val="auto"/>
                <w:kern w:val="0"/>
              </w:rPr>
              <w:t>2008</w:t>
            </w:r>
            <w:r>
              <w:rPr>
                <w:rFonts w:hint="eastAsia" w:ascii="宋体" w:hAnsi="宋体"/>
                <w:color w:val="auto"/>
                <w:kern w:val="0"/>
              </w:rPr>
              <w:t>〕</w:t>
            </w:r>
            <w:r>
              <w:rPr>
                <w:rFonts w:hint="eastAsia"/>
                <w:color w:val="auto"/>
                <w:kern w:val="0"/>
              </w:rPr>
              <w:t>164</w:t>
            </w:r>
            <w:r>
              <w:rPr>
                <w:rFonts w:hint="eastAsia" w:ascii="宋体" w:hAnsi="宋体"/>
                <w:color w:val="auto"/>
                <w:kern w:val="0"/>
              </w:rPr>
              <w:t>号）的选址符合性见下表。</w:t>
            </w:r>
          </w:p>
          <w:p w14:paraId="4D11AF23">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eastAsia" w:ascii="黑体" w:hAnsi="黑体" w:eastAsia="黑体"/>
                <w:color w:val="auto"/>
                <w:sz w:val="18"/>
                <w:szCs w:val="18"/>
              </w:rPr>
              <w:t>表</w:t>
            </w:r>
            <w:r>
              <w:rPr>
                <w:rFonts w:hint="eastAsia" w:eastAsia="黑体"/>
                <w:color w:val="auto"/>
                <w:sz w:val="18"/>
                <w:szCs w:val="18"/>
              </w:rPr>
              <w:t xml:space="preserve">1-5  </w:t>
            </w:r>
            <w:r>
              <w:rPr>
                <w:rFonts w:hint="eastAsia" w:ascii="黑体" w:hAnsi="黑体" w:eastAsia="黑体"/>
                <w:color w:val="auto"/>
                <w:sz w:val="18"/>
                <w:szCs w:val="18"/>
              </w:rPr>
              <w:t>项目与“综合医院建设标准”的选址符合性</w:t>
            </w:r>
          </w:p>
          <w:tbl>
            <w:tblPr>
              <w:tblStyle w:val="14"/>
              <w:tblW w:w="6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2926"/>
              <w:gridCol w:w="2267"/>
              <w:gridCol w:w="699"/>
            </w:tblGrid>
            <w:tr w14:paraId="18E4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14:paraId="7923CC8E">
                  <w:pPr>
                    <w:pStyle w:val="11"/>
                    <w:keepNext w:val="0"/>
                    <w:keepLines w:val="0"/>
                    <w:suppressLineNumbers w:val="0"/>
                    <w:spacing w:before="0" w:beforeAutospacing="0" w:after="0" w:afterAutospacing="0" w:line="240" w:lineRule="exact"/>
                    <w:ind w:left="-42" w:leftChars="-20" w:right="-42" w:rightChars="-20"/>
                    <w:jc w:val="center"/>
                    <w:rPr>
                      <w:rFonts w:hint="default"/>
                      <w:b/>
                      <w:color w:val="auto"/>
                      <w:sz w:val="18"/>
                      <w:szCs w:val="18"/>
                    </w:rPr>
                  </w:pPr>
                  <w:r>
                    <w:rPr>
                      <w:rFonts w:hint="eastAsia" w:ascii="宋体" w:hAnsi="宋体"/>
                      <w:b/>
                      <w:color w:val="auto"/>
                      <w:sz w:val="18"/>
                      <w:szCs w:val="18"/>
                    </w:rPr>
                    <w:t>序号</w:t>
                  </w:r>
                </w:p>
              </w:tc>
              <w:tc>
                <w:tcPr>
                  <w:tcW w:w="2926" w:type="dxa"/>
                  <w:tcBorders>
                    <w:top w:val="single" w:color="auto" w:sz="4" w:space="0"/>
                    <w:left w:val="single" w:color="auto" w:sz="4" w:space="0"/>
                    <w:bottom w:val="single" w:color="auto" w:sz="4" w:space="0"/>
                    <w:right w:val="single" w:color="auto" w:sz="4" w:space="0"/>
                  </w:tcBorders>
                  <w:vAlign w:val="center"/>
                </w:tcPr>
                <w:p w14:paraId="76D17302">
                  <w:pPr>
                    <w:pStyle w:val="11"/>
                    <w:keepNext w:val="0"/>
                    <w:keepLines w:val="0"/>
                    <w:suppressLineNumbers w:val="0"/>
                    <w:spacing w:before="0" w:beforeAutospacing="0" w:after="0" w:afterAutospacing="0" w:line="240" w:lineRule="exact"/>
                    <w:ind w:left="-42" w:leftChars="-20" w:right="-42" w:rightChars="-20"/>
                    <w:jc w:val="center"/>
                    <w:rPr>
                      <w:rFonts w:hint="default"/>
                      <w:b/>
                      <w:color w:val="auto"/>
                      <w:sz w:val="18"/>
                      <w:szCs w:val="18"/>
                    </w:rPr>
                  </w:pPr>
                  <w:r>
                    <w:rPr>
                      <w:rFonts w:hint="eastAsia" w:ascii="宋体" w:hAnsi="宋体"/>
                      <w:b/>
                      <w:color w:val="auto"/>
                      <w:sz w:val="18"/>
                      <w:szCs w:val="18"/>
                    </w:rPr>
                    <w:t>标准要求</w:t>
                  </w:r>
                </w:p>
              </w:tc>
              <w:tc>
                <w:tcPr>
                  <w:tcW w:w="2267" w:type="dxa"/>
                  <w:tcBorders>
                    <w:top w:val="single" w:color="auto" w:sz="4" w:space="0"/>
                    <w:left w:val="single" w:color="auto" w:sz="4" w:space="0"/>
                    <w:bottom w:val="single" w:color="auto" w:sz="4" w:space="0"/>
                    <w:right w:val="single" w:color="auto" w:sz="4" w:space="0"/>
                  </w:tcBorders>
                  <w:vAlign w:val="center"/>
                </w:tcPr>
                <w:p w14:paraId="77D95469">
                  <w:pPr>
                    <w:pStyle w:val="11"/>
                    <w:keepNext w:val="0"/>
                    <w:keepLines w:val="0"/>
                    <w:suppressLineNumbers w:val="0"/>
                    <w:spacing w:before="0" w:beforeAutospacing="0" w:after="0" w:afterAutospacing="0" w:line="240" w:lineRule="exact"/>
                    <w:ind w:left="-42" w:leftChars="-20" w:right="-42" w:rightChars="-20"/>
                    <w:jc w:val="center"/>
                    <w:rPr>
                      <w:rFonts w:hint="default"/>
                      <w:b/>
                      <w:color w:val="auto"/>
                      <w:sz w:val="18"/>
                      <w:szCs w:val="18"/>
                    </w:rPr>
                  </w:pPr>
                  <w:r>
                    <w:rPr>
                      <w:rFonts w:hint="eastAsia" w:ascii="宋体" w:hAnsi="宋体"/>
                      <w:b/>
                      <w:color w:val="auto"/>
                      <w:sz w:val="18"/>
                      <w:szCs w:val="18"/>
                    </w:rPr>
                    <w:t>本项目情况</w:t>
                  </w:r>
                </w:p>
              </w:tc>
              <w:tc>
                <w:tcPr>
                  <w:tcW w:w="699" w:type="dxa"/>
                  <w:tcBorders>
                    <w:top w:val="single" w:color="auto" w:sz="4" w:space="0"/>
                    <w:left w:val="single" w:color="auto" w:sz="4" w:space="0"/>
                    <w:bottom w:val="single" w:color="auto" w:sz="4" w:space="0"/>
                    <w:right w:val="single" w:color="auto" w:sz="4" w:space="0"/>
                  </w:tcBorders>
                  <w:vAlign w:val="center"/>
                </w:tcPr>
                <w:p w14:paraId="02CF4215">
                  <w:pPr>
                    <w:pStyle w:val="11"/>
                    <w:keepNext w:val="0"/>
                    <w:keepLines w:val="0"/>
                    <w:suppressLineNumbers w:val="0"/>
                    <w:spacing w:before="0" w:beforeAutospacing="0" w:after="0" w:afterAutospacing="0" w:line="240" w:lineRule="exact"/>
                    <w:ind w:left="-42" w:leftChars="-20" w:right="-42" w:rightChars="-20"/>
                    <w:jc w:val="center"/>
                    <w:rPr>
                      <w:rFonts w:hint="default"/>
                      <w:b/>
                      <w:color w:val="auto"/>
                      <w:sz w:val="18"/>
                      <w:szCs w:val="18"/>
                    </w:rPr>
                  </w:pPr>
                  <w:r>
                    <w:rPr>
                      <w:rFonts w:hint="eastAsia" w:ascii="宋体" w:hAnsi="宋体"/>
                      <w:b/>
                      <w:color w:val="auto"/>
                      <w:sz w:val="18"/>
                      <w:szCs w:val="18"/>
                    </w:rPr>
                    <w:t>符合性</w:t>
                  </w:r>
                </w:p>
              </w:tc>
            </w:tr>
            <w:tr w14:paraId="0BD3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14:paraId="5D3AAEBF">
                  <w:pPr>
                    <w:pStyle w:val="11"/>
                    <w:keepNext w:val="0"/>
                    <w:keepLines w:val="0"/>
                    <w:suppressLineNumbers w:val="0"/>
                    <w:spacing w:before="0" w:beforeAutospacing="0" w:after="0" w:afterAutospacing="0" w:line="240" w:lineRule="exact"/>
                    <w:ind w:left="-42" w:leftChars="-20" w:right="-42" w:rightChars="-20"/>
                    <w:jc w:val="center"/>
                    <w:rPr>
                      <w:rFonts w:hint="default"/>
                      <w:color w:val="auto"/>
                      <w:sz w:val="18"/>
                      <w:szCs w:val="18"/>
                    </w:rPr>
                  </w:pPr>
                  <w:r>
                    <w:rPr>
                      <w:rFonts w:hint="eastAsia"/>
                      <w:color w:val="auto"/>
                      <w:sz w:val="18"/>
                      <w:szCs w:val="18"/>
                    </w:rPr>
                    <w:t>1</w:t>
                  </w:r>
                </w:p>
              </w:tc>
              <w:tc>
                <w:tcPr>
                  <w:tcW w:w="2926" w:type="dxa"/>
                  <w:tcBorders>
                    <w:top w:val="single" w:color="auto" w:sz="4" w:space="0"/>
                    <w:left w:val="single" w:color="auto" w:sz="4" w:space="0"/>
                    <w:bottom w:val="single" w:color="auto" w:sz="4" w:space="0"/>
                    <w:right w:val="single" w:color="auto" w:sz="4" w:space="0"/>
                  </w:tcBorders>
                  <w:vAlign w:val="center"/>
                </w:tcPr>
                <w:p w14:paraId="6D6C2719">
                  <w:pPr>
                    <w:pStyle w:val="11"/>
                    <w:keepNext w:val="0"/>
                    <w:keepLines w:val="0"/>
                    <w:suppressLineNumbers w:val="0"/>
                    <w:spacing w:before="0" w:beforeAutospacing="0" w:after="0" w:afterAutospacing="0" w:line="240" w:lineRule="exact"/>
                    <w:ind w:left="-42" w:leftChars="-20" w:right="-42" w:rightChars="-20"/>
                    <w:jc w:val="left"/>
                    <w:rPr>
                      <w:rFonts w:hint="default"/>
                      <w:color w:val="auto"/>
                      <w:sz w:val="18"/>
                      <w:szCs w:val="18"/>
                    </w:rPr>
                  </w:pPr>
                  <w:r>
                    <w:rPr>
                      <w:rFonts w:hint="eastAsia" w:ascii="宋体" w:hAnsi="宋体"/>
                      <w:color w:val="auto"/>
                      <w:sz w:val="18"/>
                      <w:szCs w:val="18"/>
                    </w:rPr>
                    <w:t>综合医院的建设应符合所在地区城市总体规划、区域卫生规划和医疗机构设置规划的要求，充分利用现有卫生资源，避免重复或过于集中建设。</w:t>
                  </w:r>
                </w:p>
              </w:tc>
              <w:tc>
                <w:tcPr>
                  <w:tcW w:w="2267" w:type="dxa"/>
                  <w:tcBorders>
                    <w:top w:val="single" w:color="auto" w:sz="4" w:space="0"/>
                    <w:left w:val="single" w:color="auto" w:sz="4" w:space="0"/>
                    <w:bottom w:val="single" w:color="auto" w:sz="4" w:space="0"/>
                    <w:right w:val="single" w:color="auto" w:sz="4" w:space="0"/>
                  </w:tcBorders>
                  <w:vAlign w:val="center"/>
                </w:tcPr>
                <w:p w14:paraId="0CDDF3BB">
                  <w:pPr>
                    <w:pStyle w:val="11"/>
                    <w:keepNext w:val="0"/>
                    <w:keepLines w:val="0"/>
                    <w:suppressLineNumbers w:val="0"/>
                    <w:spacing w:before="0" w:beforeAutospacing="0" w:after="0" w:afterAutospacing="0" w:line="240" w:lineRule="exact"/>
                    <w:ind w:left="-42" w:leftChars="-20" w:right="-42" w:rightChars="-20"/>
                    <w:jc w:val="left"/>
                    <w:rPr>
                      <w:rFonts w:hint="default"/>
                      <w:color w:val="auto"/>
                      <w:sz w:val="18"/>
                      <w:szCs w:val="18"/>
                    </w:rPr>
                  </w:pPr>
                  <w:r>
                    <w:rPr>
                      <w:rFonts w:hint="eastAsia" w:ascii="宋体" w:hAnsi="宋体"/>
                      <w:color w:val="auto"/>
                      <w:sz w:val="18"/>
                      <w:szCs w:val="18"/>
                    </w:rPr>
                    <w:t>本项目已取得《医疗机构执业许可证》，具有医疗机构执业资格</w:t>
                  </w:r>
                </w:p>
              </w:tc>
              <w:tc>
                <w:tcPr>
                  <w:tcW w:w="699" w:type="dxa"/>
                  <w:tcBorders>
                    <w:top w:val="single" w:color="auto" w:sz="4" w:space="0"/>
                    <w:left w:val="single" w:color="auto" w:sz="4" w:space="0"/>
                    <w:bottom w:val="single" w:color="auto" w:sz="4" w:space="0"/>
                    <w:right w:val="single" w:color="auto" w:sz="4" w:space="0"/>
                  </w:tcBorders>
                  <w:vAlign w:val="center"/>
                </w:tcPr>
                <w:p w14:paraId="4B571A0F">
                  <w:pPr>
                    <w:pStyle w:val="11"/>
                    <w:keepNext w:val="0"/>
                    <w:keepLines w:val="0"/>
                    <w:suppressLineNumbers w:val="0"/>
                    <w:spacing w:before="0" w:beforeAutospacing="0" w:after="0" w:afterAutospacing="0" w:line="240" w:lineRule="exact"/>
                    <w:ind w:left="-42" w:leftChars="-20" w:right="-42" w:rightChars="-20"/>
                    <w:jc w:val="center"/>
                    <w:rPr>
                      <w:rFonts w:hint="default"/>
                      <w:color w:val="auto"/>
                      <w:sz w:val="18"/>
                      <w:szCs w:val="18"/>
                    </w:rPr>
                  </w:pPr>
                  <w:r>
                    <w:rPr>
                      <w:rFonts w:hint="eastAsia" w:ascii="宋体" w:hAnsi="宋体"/>
                      <w:color w:val="auto"/>
                      <w:sz w:val="18"/>
                      <w:szCs w:val="18"/>
                    </w:rPr>
                    <w:t>符合</w:t>
                  </w:r>
                </w:p>
              </w:tc>
            </w:tr>
            <w:tr w14:paraId="2C3C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14:paraId="1A8956BA">
                  <w:pPr>
                    <w:pStyle w:val="11"/>
                    <w:keepNext w:val="0"/>
                    <w:keepLines w:val="0"/>
                    <w:suppressLineNumbers w:val="0"/>
                    <w:spacing w:before="0" w:beforeAutospacing="0" w:after="0" w:afterAutospacing="0" w:line="240" w:lineRule="exact"/>
                    <w:ind w:left="-42" w:leftChars="-20" w:right="-42" w:rightChars="-20"/>
                    <w:jc w:val="center"/>
                    <w:rPr>
                      <w:rFonts w:hint="default"/>
                      <w:color w:val="auto"/>
                      <w:sz w:val="18"/>
                      <w:szCs w:val="18"/>
                    </w:rPr>
                  </w:pPr>
                  <w:r>
                    <w:rPr>
                      <w:rFonts w:hint="eastAsia"/>
                      <w:color w:val="auto"/>
                      <w:sz w:val="18"/>
                      <w:szCs w:val="18"/>
                    </w:rPr>
                    <w:t>2</w:t>
                  </w:r>
                </w:p>
              </w:tc>
              <w:tc>
                <w:tcPr>
                  <w:tcW w:w="2926" w:type="dxa"/>
                  <w:tcBorders>
                    <w:top w:val="single" w:color="auto" w:sz="4" w:space="0"/>
                    <w:left w:val="single" w:color="auto" w:sz="4" w:space="0"/>
                    <w:bottom w:val="single" w:color="auto" w:sz="4" w:space="0"/>
                    <w:right w:val="single" w:color="auto" w:sz="4" w:space="0"/>
                  </w:tcBorders>
                  <w:vAlign w:val="center"/>
                </w:tcPr>
                <w:p w14:paraId="2C69374A">
                  <w:pPr>
                    <w:pStyle w:val="11"/>
                    <w:keepNext w:val="0"/>
                    <w:keepLines w:val="0"/>
                    <w:suppressLineNumbers w:val="0"/>
                    <w:spacing w:before="0" w:beforeAutospacing="0" w:after="0" w:afterAutospacing="0" w:line="240" w:lineRule="exact"/>
                    <w:ind w:left="-42" w:leftChars="-20" w:right="-42" w:rightChars="-20"/>
                    <w:jc w:val="left"/>
                    <w:rPr>
                      <w:rFonts w:hint="default"/>
                      <w:color w:val="auto"/>
                      <w:sz w:val="18"/>
                      <w:szCs w:val="18"/>
                    </w:rPr>
                  </w:pPr>
                  <w:r>
                    <w:rPr>
                      <w:rFonts w:hint="eastAsia" w:ascii="宋体" w:hAnsi="宋体"/>
                      <w:color w:val="auto"/>
                      <w:sz w:val="18"/>
                      <w:szCs w:val="18"/>
                    </w:rPr>
                    <w:t>综合医院的选址应满足医院功能与环境的要求。院址应选址在患者就医方便、环境安静、地形比较规整、工程水文地质条件较好的位置</w:t>
                  </w:r>
                </w:p>
              </w:tc>
              <w:tc>
                <w:tcPr>
                  <w:tcW w:w="2267" w:type="dxa"/>
                  <w:tcBorders>
                    <w:top w:val="single" w:color="auto" w:sz="4" w:space="0"/>
                    <w:left w:val="single" w:color="auto" w:sz="4" w:space="0"/>
                    <w:bottom w:val="single" w:color="auto" w:sz="4" w:space="0"/>
                    <w:right w:val="single" w:color="auto" w:sz="4" w:space="0"/>
                  </w:tcBorders>
                  <w:vAlign w:val="center"/>
                </w:tcPr>
                <w:p w14:paraId="7EB754F3">
                  <w:pPr>
                    <w:pStyle w:val="11"/>
                    <w:keepNext w:val="0"/>
                    <w:keepLines w:val="0"/>
                    <w:suppressLineNumbers w:val="0"/>
                    <w:spacing w:before="0" w:beforeAutospacing="0" w:after="0" w:afterAutospacing="0" w:line="240" w:lineRule="exact"/>
                    <w:ind w:left="-42" w:leftChars="-20" w:right="-42" w:rightChars="-20"/>
                    <w:jc w:val="left"/>
                    <w:rPr>
                      <w:rFonts w:hint="default"/>
                      <w:color w:val="auto"/>
                      <w:sz w:val="18"/>
                      <w:szCs w:val="18"/>
                    </w:rPr>
                  </w:pPr>
                  <w:r>
                    <w:rPr>
                      <w:rFonts w:hint="eastAsia" w:ascii="宋体" w:hAnsi="宋体"/>
                      <w:color w:val="auto"/>
                      <w:sz w:val="18"/>
                      <w:szCs w:val="18"/>
                    </w:rPr>
                    <w:t>项目位于罗江镇场镇范围，患者就医交通方便。项目位于德源医养中心场区内，环境较安静。</w:t>
                  </w:r>
                </w:p>
              </w:tc>
              <w:tc>
                <w:tcPr>
                  <w:tcW w:w="699" w:type="dxa"/>
                  <w:tcBorders>
                    <w:top w:val="single" w:color="auto" w:sz="4" w:space="0"/>
                    <w:left w:val="single" w:color="auto" w:sz="4" w:space="0"/>
                    <w:bottom w:val="single" w:color="auto" w:sz="4" w:space="0"/>
                    <w:right w:val="single" w:color="auto" w:sz="4" w:space="0"/>
                  </w:tcBorders>
                  <w:vAlign w:val="center"/>
                </w:tcPr>
                <w:p w14:paraId="1627CE9E">
                  <w:pPr>
                    <w:pStyle w:val="11"/>
                    <w:keepNext w:val="0"/>
                    <w:keepLines w:val="0"/>
                    <w:suppressLineNumbers w:val="0"/>
                    <w:spacing w:before="0" w:beforeAutospacing="0" w:after="0" w:afterAutospacing="0" w:line="240" w:lineRule="exact"/>
                    <w:ind w:left="-42" w:leftChars="-20" w:right="-42" w:rightChars="-20"/>
                    <w:jc w:val="center"/>
                    <w:rPr>
                      <w:rFonts w:hint="default"/>
                      <w:color w:val="auto"/>
                      <w:sz w:val="18"/>
                      <w:szCs w:val="18"/>
                    </w:rPr>
                  </w:pPr>
                  <w:r>
                    <w:rPr>
                      <w:rFonts w:hint="eastAsia" w:ascii="宋体" w:hAnsi="宋体"/>
                      <w:color w:val="auto"/>
                      <w:sz w:val="18"/>
                      <w:szCs w:val="18"/>
                    </w:rPr>
                    <w:t>符合</w:t>
                  </w:r>
                </w:p>
              </w:tc>
            </w:tr>
            <w:tr w14:paraId="0531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14:paraId="1EA3B83B">
                  <w:pPr>
                    <w:pStyle w:val="11"/>
                    <w:keepNext w:val="0"/>
                    <w:keepLines w:val="0"/>
                    <w:suppressLineNumbers w:val="0"/>
                    <w:spacing w:before="0" w:beforeAutospacing="0" w:after="0" w:afterAutospacing="0" w:line="240" w:lineRule="exact"/>
                    <w:ind w:left="-42" w:leftChars="-20" w:right="-42" w:rightChars="-20"/>
                    <w:jc w:val="center"/>
                    <w:rPr>
                      <w:rFonts w:hint="default"/>
                      <w:color w:val="auto"/>
                      <w:sz w:val="18"/>
                      <w:szCs w:val="18"/>
                    </w:rPr>
                  </w:pPr>
                  <w:r>
                    <w:rPr>
                      <w:rFonts w:hint="eastAsia"/>
                      <w:color w:val="auto"/>
                      <w:sz w:val="18"/>
                      <w:szCs w:val="18"/>
                    </w:rPr>
                    <w:t>3</w:t>
                  </w:r>
                </w:p>
              </w:tc>
              <w:tc>
                <w:tcPr>
                  <w:tcW w:w="2926" w:type="dxa"/>
                  <w:tcBorders>
                    <w:top w:val="single" w:color="auto" w:sz="4" w:space="0"/>
                    <w:left w:val="single" w:color="auto" w:sz="4" w:space="0"/>
                    <w:bottom w:val="single" w:color="auto" w:sz="4" w:space="0"/>
                    <w:right w:val="single" w:color="auto" w:sz="4" w:space="0"/>
                  </w:tcBorders>
                  <w:vAlign w:val="center"/>
                </w:tcPr>
                <w:p w14:paraId="255F3A43">
                  <w:pPr>
                    <w:pStyle w:val="11"/>
                    <w:keepNext w:val="0"/>
                    <w:keepLines w:val="0"/>
                    <w:suppressLineNumbers w:val="0"/>
                    <w:spacing w:before="0" w:beforeAutospacing="0" w:after="0" w:afterAutospacing="0" w:line="240" w:lineRule="exact"/>
                    <w:ind w:left="-42" w:leftChars="-20" w:right="-42" w:rightChars="-20"/>
                    <w:jc w:val="left"/>
                    <w:rPr>
                      <w:rFonts w:hint="default"/>
                      <w:color w:val="auto"/>
                      <w:sz w:val="18"/>
                      <w:szCs w:val="18"/>
                    </w:rPr>
                  </w:pPr>
                  <w:r>
                    <w:rPr>
                      <w:rFonts w:hint="eastAsia" w:ascii="宋体" w:hAnsi="宋体"/>
                      <w:color w:val="auto"/>
                      <w:sz w:val="18"/>
                      <w:szCs w:val="18"/>
                    </w:rPr>
                    <w:t>尽可能充分利用城市基础设施，应避开污染源和易燃易爆的生产、贮存场所</w:t>
                  </w:r>
                </w:p>
              </w:tc>
              <w:tc>
                <w:tcPr>
                  <w:tcW w:w="2267" w:type="dxa"/>
                  <w:tcBorders>
                    <w:top w:val="single" w:color="auto" w:sz="4" w:space="0"/>
                    <w:left w:val="single" w:color="auto" w:sz="4" w:space="0"/>
                    <w:bottom w:val="single" w:color="auto" w:sz="4" w:space="0"/>
                    <w:right w:val="single" w:color="auto" w:sz="4" w:space="0"/>
                  </w:tcBorders>
                  <w:vAlign w:val="center"/>
                </w:tcPr>
                <w:p w14:paraId="32B7B81B">
                  <w:pPr>
                    <w:pStyle w:val="11"/>
                    <w:keepNext w:val="0"/>
                    <w:keepLines w:val="0"/>
                    <w:suppressLineNumbers w:val="0"/>
                    <w:spacing w:before="0" w:beforeAutospacing="0" w:after="0" w:afterAutospacing="0" w:line="240" w:lineRule="exact"/>
                    <w:ind w:left="-42" w:leftChars="-20" w:right="-42" w:rightChars="-20"/>
                    <w:jc w:val="left"/>
                    <w:rPr>
                      <w:rFonts w:hint="default"/>
                      <w:color w:val="auto"/>
                      <w:sz w:val="18"/>
                      <w:szCs w:val="18"/>
                    </w:rPr>
                  </w:pPr>
                  <w:r>
                    <w:rPr>
                      <w:rFonts w:hint="eastAsia" w:ascii="宋体" w:hAnsi="宋体"/>
                      <w:color w:val="auto"/>
                      <w:sz w:val="18"/>
                      <w:szCs w:val="18"/>
                    </w:rPr>
                    <w:t>项目属于场镇建成区阀内，城市基础设施完善；周边没有污染源和易燃易爆的生产、贮存场所</w:t>
                  </w:r>
                </w:p>
              </w:tc>
              <w:tc>
                <w:tcPr>
                  <w:tcW w:w="699" w:type="dxa"/>
                  <w:tcBorders>
                    <w:top w:val="single" w:color="auto" w:sz="4" w:space="0"/>
                    <w:left w:val="single" w:color="auto" w:sz="4" w:space="0"/>
                    <w:bottom w:val="single" w:color="auto" w:sz="4" w:space="0"/>
                    <w:right w:val="single" w:color="auto" w:sz="4" w:space="0"/>
                  </w:tcBorders>
                  <w:vAlign w:val="center"/>
                </w:tcPr>
                <w:p w14:paraId="120667A5">
                  <w:pPr>
                    <w:pStyle w:val="11"/>
                    <w:keepNext w:val="0"/>
                    <w:keepLines w:val="0"/>
                    <w:suppressLineNumbers w:val="0"/>
                    <w:spacing w:before="0" w:beforeAutospacing="0" w:after="0" w:afterAutospacing="0" w:line="240" w:lineRule="exact"/>
                    <w:ind w:left="-42" w:leftChars="-20" w:right="-42" w:rightChars="-20"/>
                    <w:jc w:val="center"/>
                    <w:rPr>
                      <w:rFonts w:hint="default"/>
                      <w:color w:val="auto"/>
                      <w:sz w:val="18"/>
                      <w:szCs w:val="18"/>
                    </w:rPr>
                  </w:pPr>
                  <w:r>
                    <w:rPr>
                      <w:rFonts w:hint="eastAsia" w:ascii="宋体" w:hAnsi="宋体"/>
                      <w:color w:val="auto"/>
                      <w:sz w:val="18"/>
                      <w:szCs w:val="18"/>
                    </w:rPr>
                    <w:t>符合</w:t>
                  </w:r>
                </w:p>
              </w:tc>
            </w:tr>
            <w:tr w14:paraId="4E74B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546" w:type="dxa"/>
                  <w:tcBorders>
                    <w:top w:val="single" w:color="auto" w:sz="4" w:space="0"/>
                    <w:left w:val="single" w:color="auto" w:sz="4" w:space="0"/>
                    <w:bottom w:val="single" w:color="auto" w:sz="4" w:space="0"/>
                    <w:right w:val="single" w:color="auto" w:sz="4" w:space="0"/>
                  </w:tcBorders>
                  <w:vAlign w:val="center"/>
                </w:tcPr>
                <w:p w14:paraId="49359AED">
                  <w:pPr>
                    <w:pStyle w:val="11"/>
                    <w:keepNext w:val="0"/>
                    <w:keepLines w:val="0"/>
                    <w:suppressLineNumbers w:val="0"/>
                    <w:spacing w:before="0" w:beforeAutospacing="0" w:after="0" w:afterAutospacing="0" w:line="240" w:lineRule="exact"/>
                    <w:ind w:left="-42" w:leftChars="-20" w:right="-42" w:rightChars="-20"/>
                    <w:jc w:val="center"/>
                    <w:rPr>
                      <w:rFonts w:hint="default"/>
                      <w:color w:val="auto"/>
                      <w:sz w:val="18"/>
                      <w:szCs w:val="18"/>
                    </w:rPr>
                  </w:pPr>
                  <w:r>
                    <w:rPr>
                      <w:rFonts w:hint="eastAsia"/>
                      <w:color w:val="auto"/>
                      <w:sz w:val="18"/>
                      <w:szCs w:val="18"/>
                    </w:rPr>
                    <w:t>4</w:t>
                  </w:r>
                </w:p>
              </w:tc>
              <w:tc>
                <w:tcPr>
                  <w:tcW w:w="2926" w:type="dxa"/>
                  <w:tcBorders>
                    <w:top w:val="single" w:color="auto" w:sz="4" w:space="0"/>
                    <w:left w:val="single" w:color="auto" w:sz="4" w:space="0"/>
                    <w:bottom w:val="single" w:color="auto" w:sz="4" w:space="0"/>
                    <w:right w:val="single" w:color="auto" w:sz="4" w:space="0"/>
                  </w:tcBorders>
                  <w:vAlign w:val="center"/>
                </w:tcPr>
                <w:p w14:paraId="29BEF2A6">
                  <w:pPr>
                    <w:pStyle w:val="11"/>
                    <w:keepNext w:val="0"/>
                    <w:keepLines w:val="0"/>
                    <w:suppressLineNumbers w:val="0"/>
                    <w:spacing w:before="0" w:beforeAutospacing="0" w:after="0" w:afterAutospacing="0" w:line="240" w:lineRule="exact"/>
                    <w:ind w:left="-42" w:leftChars="-20" w:right="-42" w:rightChars="-20"/>
                    <w:jc w:val="left"/>
                    <w:rPr>
                      <w:rFonts w:hint="default"/>
                      <w:color w:val="auto"/>
                      <w:sz w:val="18"/>
                      <w:szCs w:val="18"/>
                    </w:rPr>
                  </w:pPr>
                  <w:r>
                    <w:rPr>
                      <w:rFonts w:hint="eastAsia" w:ascii="宋体" w:hAnsi="宋体"/>
                      <w:color w:val="auto"/>
                      <w:sz w:val="18"/>
                      <w:szCs w:val="18"/>
                    </w:rPr>
                    <w:t>功能分区明确，科学地组织人流和物流，避免或减少交叉感染</w:t>
                  </w:r>
                </w:p>
              </w:tc>
              <w:tc>
                <w:tcPr>
                  <w:tcW w:w="2267" w:type="dxa"/>
                  <w:tcBorders>
                    <w:top w:val="single" w:color="auto" w:sz="4" w:space="0"/>
                    <w:left w:val="single" w:color="auto" w:sz="4" w:space="0"/>
                    <w:bottom w:val="single" w:color="auto" w:sz="4" w:space="0"/>
                    <w:right w:val="single" w:color="auto" w:sz="4" w:space="0"/>
                  </w:tcBorders>
                  <w:vAlign w:val="center"/>
                </w:tcPr>
                <w:p w14:paraId="411EFD52">
                  <w:pPr>
                    <w:pStyle w:val="11"/>
                    <w:keepNext w:val="0"/>
                    <w:keepLines w:val="0"/>
                    <w:suppressLineNumbers w:val="0"/>
                    <w:spacing w:before="0" w:beforeAutospacing="0" w:after="0" w:afterAutospacing="0" w:line="240" w:lineRule="exact"/>
                    <w:ind w:left="-42" w:leftChars="-20" w:right="-42" w:rightChars="-20"/>
                    <w:jc w:val="left"/>
                    <w:rPr>
                      <w:rFonts w:hint="default"/>
                      <w:color w:val="auto"/>
                      <w:sz w:val="18"/>
                      <w:szCs w:val="18"/>
                    </w:rPr>
                  </w:pPr>
                  <w:r>
                    <w:rPr>
                      <w:rFonts w:hint="eastAsia" w:ascii="宋体" w:hAnsi="宋体"/>
                      <w:color w:val="auto"/>
                      <w:sz w:val="18"/>
                      <w:szCs w:val="18"/>
                    </w:rPr>
                    <w:t>项目功能分区明确，就医路线和污染路线分开，减少了交叉感染</w:t>
                  </w:r>
                </w:p>
              </w:tc>
              <w:tc>
                <w:tcPr>
                  <w:tcW w:w="699" w:type="dxa"/>
                  <w:tcBorders>
                    <w:top w:val="single" w:color="auto" w:sz="4" w:space="0"/>
                    <w:left w:val="single" w:color="auto" w:sz="4" w:space="0"/>
                    <w:bottom w:val="single" w:color="auto" w:sz="4" w:space="0"/>
                    <w:right w:val="single" w:color="auto" w:sz="4" w:space="0"/>
                  </w:tcBorders>
                  <w:vAlign w:val="center"/>
                </w:tcPr>
                <w:p w14:paraId="424FC528">
                  <w:pPr>
                    <w:pStyle w:val="11"/>
                    <w:keepNext w:val="0"/>
                    <w:keepLines w:val="0"/>
                    <w:suppressLineNumbers w:val="0"/>
                    <w:spacing w:before="0" w:beforeAutospacing="0" w:after="0" w:afterAutospacing="0" w:line="240" w:lineRule="exact"/>
                    <w:ind w:left="-42" w:leftChars="-20" w:right="-42" w:rightChars="-20"/>
                    <w:jc w:val="center"/>
                    <w:rPr>
                      <w:rFonts w:hint="default"/>
                      <w:color w:val="auto"/>
                      <w:sz w:val="18"/>
                      <w:szCs w:val="18"/>
                    </w:rPr>
                  </w:pPr>
                  <w:r>
                    <w:rPr>
                      <w:rFonts w:hint="eastAsia" w:ascii="宋体" w:hAnsi="宋体"/>
                      <w:color w:val="auto"/>
                      <w:sz w:val="18"/>
                      <w:szCs w:val="18"/>
                    </w:rPr>
                    <w:t>符合</w:t>
                  </w:r>
                </w:p>
              </w:tc>
            </w:tr>
          </w:tbl>
          <w:p w14:paraId="7A78C14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auto"/>
              <w:rPr>
                <w:rFonts w:hint="default" w:cs="宋体"/>
                <w:color w:val="auto"/>
                <w:kern w:val="0"/>
                <w:szCs w:val="21"/>
              </w:rPr>
            </w:pPr>
            <w:r>
              <w:rPr>
                <w:rFonts w:hint="eastAsia" w:ascii="宋体" w:hAnsi="宋体"/>
                <w:color w:val="auto"/>
                <w:kern w:val="0"/>
              </w:rPr>
              <w:t>④项目建设与周围环境相协调。本项目属于医院类项目，本身也属于环境敏感目标，建设区周围500m范围内以场镇居住、学校、商业为主的区域，没有较大的污染源。同时，本项目对周围环境的影响很小，属于环境可接受程度。</w:t>
            </w:r>
          </w:p>
          <w:p w14:paraId="1B8C056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left="0" w:right="0" w:firstLine="420" w:firstLineChars="200"/>
              <w:jc w:val="left"/>
              <w:textAlignment w:val="auto"/>
              <w:rPr>
                <w:rFonts w:hint="default" w:cs="宋体"/>
                <w:color w:val="auto"/>
                <w:kern w:val="0"/>
              </w:rPr>
            </w:pPr>
            <w:r>
              <w:rPr>
                <w:rFonts w:hint="eastAsia" w:ascii="宋体" w:hAnsi="宋体"/>
                <w:color w:val="auto"/>
                <w:kern w:val="0"/>
              </w:rPr>
              <w:t>⑤项目医疗用房</w:t>
            </w:r>
            <w:r>
              <w:rPr>
                <w:rFonts w:hint="eastAsia" w:cs="宋体"/>
                <w:color w:val="auto"/>
                <w:kern w:val="0"/>
              </w:rPr>
              <w:t>系租用达州市德源健康管理服务有限公司闲置的医疗用房，可设置单独的污水管网及处理设施，</w:t>
            </w:r>
            <w:r>
              <w:rPr>
                <w:rFonts w:hint="eastAsia" w:ascii="宋体" w:hAnsi="宋体"/>
                <w:color w:val="auto"/>
                <w:kern w:val="0"/>
              </w:rPr>
              <w:t>将医疗废水和生活污水处理后排入场镇市政污水管网，能够确保废水得到有效收集处理，利于项目建设。</w:t>
            </w:r>
          </w:p>
          <w:p w14:paraId="7D9014F9">
            <w:pPr>
              <w:keepNext w:val="0"/>
              <w:keepLines w:val="0"/>
              <w:widowControl/>
              <w:suppressLineNumbers w:val="0"/>
              <w:spacing w:before="0" w:beforeAutospacing="0" w:after="0" w:afterAutospacing="0" w:line="400" w:lineRule="exact"/>
              <w:ind w:left="0" w:right="0" w:firstLine="420" w:firstLineChars="200"/>
              <w:jc w:val="left"/>
              <w:rPr>
                <w:rFonts w:hint="default"/>
                <w:color w:val="auto"/>
              </w:rPr>
            </w:pPr>
            <w:r>
              <w:rPr>
                <w:rFonts w:hint="default" w:ascii="宋体" w:hAnsi="宋体" w:cs="宋体"/>
                <w:color w:val="auto"/>
                <w:kern w:val="0"/>
              </w:rPr>
              <w:t>综上分析，本项目选址合理可行。</w:t>
            </w:r>
          </w:p>
        </w:tc>
      </w:tr>
    </w:tbl>
    <w:p w14:paraId="0212EEC3">
      <w:pPr>
        <w:widowControl/>
        <w:spacing w:line="360" w:lineRule="auto"/>
        <w:jc w:val="left"/>
        <w:rPr>
          <w:rFonts w:eastAsia="黑体"/>
          <w:color w:val="auto"/>
          <w:sz w:val="30"/>
        </w:rPr>
        <w:sectPr>
          <w:pgSz w:w="11906" w:h="16838"/>
          <w:pgMar w:top="1701" w:right="1531" w:bottom="1701" w:left="1531" w:header="851" w:footer="1077" w:gutter="0"/>
          <w:pgNumType w:fmt="numberInDash" w:start="11"/>
          <w:cols w:space="720" w:num="1"/>
        </w:sectPr>
      </w:pPr>
    </w:p>
    <w:p w14:paraId="0F115E0F">
      <w:pPr>
        <w:pStyle w:val="12"/>
        <w:jc w:val="center"/>
        <w:outlineLvl w:val="0"/>
        <w:rPr>
          <w:rFonts w:ascii="Times New Roman" w:hAnsi="Times New Roman" w:eastAsia="黑体" w:cs="Times New Roman"/>
          <w:snapToGrid w:val="0"/>
          <w:color w:val="auto"/>
          <w:kern w:val="0"/>
          <w:sz w:val="30"/>
          <w:szCs w:val="30"/>
        </w:rPr>
      </w:pPr>
      <w:r>
        <w:rPr>
          <w:rFonts w:hint="eastAsia" w:ascii="Times New Roman" w:hAnsi="Times New Roman" w:eastAsia="黑体"/>
          <w:snapToGrid w:val="0"/>
          <w:color w:val="auto"/>
          <w:sz w:val="30"/>
          <w:szCs w:val="30"/>
        </w:rPr>
        <w:t>二、建设项目工程分析</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016"/>
      </w:tblGrid>
      <w:tr w14:paraId="18479E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60" w:hRule="atLeast"/>
          <w:jc w:val="center"/>
        </w:trPr>
        <w:tc>
          <w:tcPr>
            <w:tcW w:w="823" w:type="dxa"/>
            <w:tcBorders>
              <w:top w:val="single" w:color="auto" w:sz="8" w:space="0"/>
              <w:left w:val="single" w:color="auto" w:sz="8" w:space="0"/>
              <w:bottom w:val="single" w:color="auto" w:sz="4" w:space="0"/>
              <w:right w:val="single" w:color="auto" w:sz="4" w:space="0"/>
            </w:tcBorders>
            <w:vAlign w:val="center"/>
          </w:tcPr>
          <w:p w14:paraId="578CF20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348DF9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EEBF37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43D757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7E3B155">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4E4711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B861EF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9F2ACC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07833F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EE624E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A31CFC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F5233C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19F7BF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D647319">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830BDC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E467FC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0B6BB1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793CCE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3D2F36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02C1B7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71D332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D35ADF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C587B6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B5E26F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4F9C1D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568E33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FDD664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592B41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建设内容</w:t>
            </w:r>
          </w:p>
          <w:p w14:paraId="4467784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B5EB35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049A38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699884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7F471E9">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47A56B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CDD41F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B9BE74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685AF8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978CE0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0B8A0B8">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6AE9F3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CE30BD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3F4749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6738AC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38A6AC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144B45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E7DF19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836E47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52203F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57FE42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AC795F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E81C56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1D61939">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AD0935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8C8D9D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FCE7A1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2F4812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F2D37E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6539D7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5833B7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2A37EF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E78A90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A65F6F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BDA763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A40A51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C6982B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7A3E6B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A0957D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3E3C89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7C596B9">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CF8F06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EBA93B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586355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79EEBA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4E712A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D74739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EAD860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9863388">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F6347A9">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建设内容</w:t>
            </w:r>
          </w:p>
          <w:p w14:paraId="616C6AF8">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5A5DB7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E8712D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2A1477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4D002F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9613AB8">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03B900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BABD0D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6185F8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E6D537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6B382A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0359C9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40B950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AA02E6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0B9EA4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2203AB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883861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E18E9E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82E0BD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49048D9">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2B1E2D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0E5702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320831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281E6D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466235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39B01F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2292EB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BCEB6C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DFBB6D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6C7927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B072DE8">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9A91E8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B63388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2018DF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B00965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BDE18E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0493AA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B81EE0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749C29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51F0C38">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E42BCC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39A853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EE9CF0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3F5686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97A8F85">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F625C6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0E4F75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229FC5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70DF7C9">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96EED5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739311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764321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033C30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建设内容</w:t>
            </w:r>
          </w:p>
          <w:p w14:paraId="2BCE5B8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149035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F6C553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2FE84E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79C9D1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09EFC2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A1F7A0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82B60B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85E888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0EA145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F071125">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0C90595">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A3F1A7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6B3A2F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0A28928">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B1A99D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2EE93E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AFECCF9">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9A7304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CDD970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543B2A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319FC2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B95C6B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64D6428">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B44D36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7DD047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11ABF0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9A5B3C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F3DF47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FD8EA39">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2CFAC2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93DDC4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9A971D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C1965F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6E52A5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DA5BB3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69E2C8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EA2808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ADCBFC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BEC6DB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0D494D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043755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7F277D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5F81AD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7537A79">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C7F7BA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F81AF0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07E00F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07D1C1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50464D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3D24588">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27A71D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6C7604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6396529">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建设内容</w:t>
            </w:r>
          </w:p>
          <w:p w14:paraId="1999EE4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A50593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CB8FF4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099492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2187B1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63AB22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26731F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09CF98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2A19F8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2FBA09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E286FB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B75DD3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7D72A1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27514A5">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72C4A8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BD4830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6AC8AE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BA4752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C46294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0071225">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8F2AF9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4270188">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DC4856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22C65D5">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A80E4D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A2BF43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452E829">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DA8871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55C077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C37A75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1857AA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47191B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6DD3DF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021B1E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E47566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27374A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4EDC14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D4A00C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EA1B365">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9B775C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0251655">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BFE068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1EAE4F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E0AB399">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7E5D12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4DF1DD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02E034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04BBF48">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C18066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FDC233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927FB0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E7EE3E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7B8557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95E542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建设内容</w:t>
            </w:r>
          </w:p>
          <w:p w14:paraId="45F58DD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53F012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36A54F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EEE655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567328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6AFE24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C842AD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26E643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E07D95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4B40C85">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6DE58A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73CEEF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C344CF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CE37C0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D705B18">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D62068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F10C8B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170907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8AB22F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AB54C9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B13FAB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F6066C9">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47DAF5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0DF1B18">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1E3FEF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8B4BBD8">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64E81C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C558C18">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35C57E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F8B8A3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7B4761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154DE7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D62121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451257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ACBAB4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503E58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ABCE0D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D749D4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4F424E9">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8030BA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C456DE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FB9373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AF7D17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E91DC5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F9077A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B912AF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329118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建设内容</w:t>
            </w:r>
          </w:p>
          <w:p w14:paraId="0719504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CB3C15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2C310B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1EFA68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D117C4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24473D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51A79D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CFA6D3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F4154E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4F2BCD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EB2D04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tc>
        <w:tc>
          <w:tcPr>
            <w:tcW w:w="8016" w:type="dxa"/>
            <w:tcBorders>
              <w:top w:val="single" w:color="auto" w:sz="8" w:space="0"/>
              <w:left w:val="single" w:color="auto" w:sz="4" w:space="0"/>
              <w:bottom w:val="single" w:color="auto" w:sz="4" w:space="0"/>
              <w:right w:val="single" w:color="auto" w:sz="8" w:space="0"/>
            </w:tcBorders>
          </w:tcPr>
          <w:p w14:paraId="6842BE81">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olor w:val="auto"/>
                <w:kern w:val="0"/>
              </w:rPr>
            </w:pPr>
            <w:r>
              <w:rPr>
                <w:rFonts w:hint="default" w:eastAsia="黑体"/>
                <w:color w:val="auto"/>
                <w:kern w:val="0"/>
              </w:rPr>
              <w:t>1</w:t>
            </w:r>
            <w:r>
              <w:rPr>
                <w:rFonts w:hint="default" w:ascii="黑体" w:hAnsi="黑体" w:eastAsia="黑体"/>
                <w:color w:val="auto"/>
                <w:kern w:val="0"/>
              </w:rPr>
              <w:t>、项目由来</w:t>
            </w:r>
          </w:p>
          <w:p w14:paraId="04BD4EB4">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宋体" w:hAnsi="宋体"/>
                <w:color w:val="auto"/>
                <w:kern w:val="0"/>
              </w:rPr>
            </w:pPr>
            <w:r>
              <w:rPr>
                <w:rFonts w:hint="eastAsia" w:ascii="宋体" w:hAnsi="宋体"/>
                <w:color w:val="auto"/>
                <w:kern w:val="0"/>
              </w:rPr>
              <w:t>近年来，国家大力发展非公立医疗机构，《卫生部关于做好区域卫生规划和医疗机构设置规划促进非公立医疗机构发展的通知》（卫规财发〔</w:t>
            </w:r>
            <w:r>
              <w:rPr>
                <w:rFonts w:hint="eastAsia"/>
                <w:color w:val="auto"/>
                <w:kern w:val="0"/>
              </w:rPr>
              <w:t>2012</w:t>
            </w:r>
            <w:r>
              <w:rPr>
                <w:rFonts w:hint="eastAsia" w:ascii="宋体" w:hAnsi="宋体"/>
                <w:color w:val="auto"/>
                <w:kern w:val="0"/>
              </w:rPr>
              <w:t>〕</w:t>
            </w:r>
            <w:r>
              <w:rPr>
                <w:rFonts w:hint="eastAsia"/>
                <w:color w:val="auto"/>
                <w:kern w:val="0"/>
              </w:rPr>
              <w:t>47</w:t>
            </w:r>
            <w:r>
              <w:rPr>
                <w:rFonts w:hint="eastAsia" w:ascii="宋体" w:hAnsi="宋体"/>
                <w:color w:val="auto"/>
                <w:kern w:val="0"/>
              </w:rPr>
              <w:t>号）等文件均明确：大力发展非公立医疗机构。放宽社会资本举办医疗机构的准入，鼓励有实力的企业、慈善机构、基金会、商业保险机构等社会力量以及境外投资者举办医疗机构，鼓励具有资质的人员（包括港、澳、台地区）依法开办私人诊所，鼓励社会资本举办和发展具有一定规模、有特色的医疗机构。</w:t>
            </w:r>
          </w:p>
          <w:p w14:paraId="39102E54">
            <w:pPr>
              <w:keepNext w:val="0"/>
              <w:keepLines w:val="0"/>
              <w:suppressLineNumbers w:val="0"/>
              <w:spacing w:before="0" w:beforeAutospacing="0" w:after="0" w:afterAutospacing="0" w:line="400" w:lineRule="exact"/>
              <w:ind w:left="0" w:right="0" w:firstLine="420" w:firstLineChars="200"/>
              <w:rPr>
                <w:rFonts w:hint="default" w:ascii="宋体" w:hAnsi="宋体"/>
                <w:color w:val="auto"/>
                <w:kern w:val="0"/>
              </w:rPr>
            </w:pPr>
            <w:r>
              <w:rPr>
                <w:rFonts w:hint="eastAsia" w:ascii="宋体" w:hAnsi="宋体"/>
                <w:color w:val="auto"/>
                <w:kern w:val="0"/>
              </w:rPr>
              <w:t>为给城市居民提供更加便捷、周到的就医服务，合理利用闲置资源、满足德源医养中心的就医需求，达州德仁中医医院有限公司租用了达州市德源健康管理服务有限公司医养中心闲置的医疗服务用房，建设“达州德仁中医医院建设项目”。项目医疗用房建筑面积约</w:t>
            </w:r>
            <w:r>
              <w:rPr>
                <w:rFonts w:hint="eastAsia"/>
                <w:color w:val="auto"/>
                <w:kern w:val="0"/>
              </w:rPr>
              <w:t>3100m</w:t>
            </w:r>
            <w:r>
              <w:rPr>
                <w:rFonts w:hint="eastAsia"/>
                <w:color w:val="auto"/>
                <w:kern w:val="0"/>
                <w:vertAlign w:val="superscript"/>
              </w:rPr>
              <w:t>2</w:t>
            </w:r>
            <w:r>
              <w:rPr>
                <w:rFonts w:hint="eastAsia" w:ascii="宋体" w:hAnsi="宋体"/>
                <w:color w:val="auto"/>
                <w:kern w:val="0"/>
              </w:rPr>
              <w:t>，主要开设</w:t>
            </w:r>
            <w:r>
              <w:rPr>
                <w:rFonts w:hint="eastAsia"/>
                <w:bCs/>
                <w:color w:val="auto"/>
                <w:szCs w:val="21"/>
                <w:lang w:val="zh-CN"/>
              </w:rPr>
              <w:t>内科、</w:t>
            </w:r>
            <w:r>
              <w:rPr>
                <w:rFonts w:hint="eastAsia"/>
                <w:bCs/>
                <w:color w:val="auto"/>
                <w:szCs w:val="21"/>
              </w:rPr>
              <w:t>外科</w:t>
            </w:r>
            <w:r>
              <w:rPr>
                <w:rFonts w:hint="eastAsia"/>
                <w:bCs/>
                <w:color w:val="auto"/>
                <w:szCs w:val="21"/>
                <w:lang w:val="zh-CN"/>
              </w:rPr>
              <w:t>、</w:t>
            </w:r>
            <w:r>
              <w:rPr>
                <w:rFonts w:hint="eastAsia"/>
                <w:bCs/>
                <w:color w:val="auto"/>
                <w:szCs w:val="21"/>
              </w:rPr>
              <w:t>精神科、</w:t>
            </w:r>
            <w:r>
              <w:rPr>
                <w:rFonts w:hint="eastAsia"/>
                <w:bCs/>
                <w:color w:val="auto"/>
                <w:szCs w:val="21"/>
                <w:lang w:val="zh-CN"/>
              </w:rPr>
              <w:t>医学检查科、医学影像科、中医科等；</w:t>
            </w:r>
            <w:r>
              <w:rPr>
                <w:rFonts w:hint="eastAsia" w:ascii="宋体" w:hAnsi="宋体"/>
                <w:color w:val="auto"/>
                <w:kern w:val="0"/>
              </w:rPr>
              <w:t>设置住院病床</w:t>
            </w:r>
            <w:r>
              <w:rPr>
                <w:rFonts w:hint="eastAsia"/>
                <w:color w:val="auto"/>
                <w:kern w:val="0"/>
              </w:rPr>
              <w:t>80</w:t>
            </w:r>
            <w:r>
              <w:rPr>
                <w:rFonts w:hint="eastAsia" w:ascii="宋体" w:hAnsi="宋体"/>
                <w:color w:val="auto"/>
                <w:kern w:val="0"/>
              </w:rPr>
              <w:t>张。项目的建设符合医疗产业发展需要，建成后能更好地满足人民日益增长的医疗服务需求，缓解就医难问题。</w:t>
            </w:r>
          </w:p>
          <w:p w14:paraId="1DD908EA">
            <w:pPr>
              <w:keepNext w:val="0"/>
              <w:keepLines w:val="0"/>
              <w:suppressLineNumbers w:val="0"/>
              <w:autoSpaceDE w:val="0"/>
              <w:autoSpaceDN w:val="0"/>
              <w:adjustRightInd w:val="0"/>
              <w:snapToGrid w:val="0"/>
              <w:spacing w:before="0" w:beforeAutospacing="0" w:after="0" w:afterAutospacing="0" w:line="380" w:lineRule="exact"/>
              <w:ind w:left="0" w:right="0"/>
              <w:jc w:val="left"/>
              <w:rPr>
                <w:rFonts w:hint="default" w:eastAsia="黑体" w:cs="宋体"/>
                <w:color w:val="auto"/>
                <w:kern w:val="0"/>
                <w:szCs w:val="21"/>
              </w:rPr>
            </w:pPr>
            <w:r>
              <w:rPr>
                <w:rFonts w:hint="eastAsia" w:eastAsia="黑体" w:cs="宋体"/>
                <w:color w:val="auto"/>
                <w:kern w:val="0"/>
                <w:szCs w:val="21"/>
              </w:rPr>
              <w:t>2</w:t>
            </w:r>
            <w:r>
              <w:rPr>
                <w:rFonts w:hint="default" w:eastAsia="黑体" w:cs="宋体"/>
                <w:color w:val="auto"/>
                <w:kern w:val="0"/>
                <w:szCs w:val="21"/>
              </w:rPr>
              <w:t>、建设内容及规模</w:t>
            </w:r>
          </w:p>
          <w:p w14:paraId="2AA83975">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b/>
                <w:bCs/>
                <w:color w:val="auto"/>
                <w:kern w:val="0"/>
              </w:rPr>
            </w:pPr>
            <w:r>
              <w:rPr>
                <w:rFonts w:hint="default" w:ascii="宋体" w:hAnsi="宋体"/>
                <w:b/>
                <w:bCs/>
                <w:color w:val="auto"/>
                <w:kern w:val="0"/>
              </w:rPr>
              <w:t>（</w:t>
            </w:r>
            <w:r>
              <w:rPr>
                <w:rFonts w:hint="eastAsia"/>
                <w:b/>
                <w:bCs/>
                <w:color w:val="auto"/>
                <w:kern w:val="0"/>
              </w:rPr>
              <w:t>1</w:t>
            </w:r>
            <w:r>
              <w:rPr>
                <w:rFonts w:hint="default" w:ascii="宋体" w:hAnsi="宋体"/>
                <w:b/>
                <w:bCs/>
                <w:color w:val="auto"/>
                <w:kern w:val="0"/>
              </w:rPr>
              <w:t>）项目楼层科室设置情况</w:t>
            </w:r>
          </w:p>
          <w:p w14:paraId="144CC37A">
            <w:pPr>
              <w:keepNext w:val="0"/>
              <w:keepLines w:val="0"/>
              <w:suppressLineNumbers w:val="0"/>
              <w:autoSpaceDE w:val="0"/>
              <w:autoSpaceDN w:val="0"/>
              <w:adjustRightInd w:val="0"/>
              <w:snapToGrid w:val="0"/>
              <w:spacing w:before="0" w:beforeAutospacing="0" w:after="0" w:afterAutospacing="0" w:line="380" w:lineRule="exact"/>
              <w:ind w:left="0" w:right="0" w:firstLine="420" w:firstLineChars="200"/>
              <w:jc w:val="left"/>
              <w:rPr>
                <w:rFonts w:hint="default" w:ascii="宋体" w:hAnsi="宋体"/>
                <w:color w:val="auto"/>
                <w:kern w:val="0"/>
              </w:rPr>
            </w:pPr>
            <w:r>
              <w:rPr>
                <w:rFonts w:hint="eastAsia"/>
                <w:color w:val="auto"/>
                <w:kern w:val="0"/>
              </w:rPr>
              <w:t>本项目租用</w:t>
            </w:r>
            <w:r>
              <w:rPr>
                <w:rFonts w:hint="eastAsia" w:ascii="宋体" w:hAnsi="宋体"/>
                <w:color w:val="auto"/>
                <w:kern w:val="0"/>
              </w:rPr>
              <w:t>达州市德源健康管理服务有限公司医养中心闲置的医疗服务用房，</w:t>
            </w:r>
            <w:r>
              <w:rPr>
                <w:rFonts w:hint="eastAsia"/>
                <w:color w:val="auto"/>
                <w:kern w:val="0"/>
              </w:rPr>
              <w:t>建筑面积共3100m</w:t>
            </w:r>
            <w:r>
              <w:rPr>
                <w:rFonts w:hint="eastAsia"/>
                <w:color w:val="auto"/>
                <w:kern w:val="0"/>
                <w:vertAlign w:val="superscript"/>
              </w:rPr>
              <w:t>2</w:t>
            </w:r>
            <w:r>
              <w:rPr>
                <w:rFonts w:hint="eastAsia"/>
                <w:color w:val="auto"/>
                <w:kern w:val="0"/>
              </w:rPr>
              <w:t>，包括1栋独栋医疗楼（4F、建筑面积约3000m</w:t>
            </w:r>
            <w:r>
              <w:rPr>
                <w:rFonts w:hint="eastAsia"/>
                <w:color w:val="auto"/>
                <w:kern w:val="0"/>
                <w:vertAlign w:val="superscript"/>
              </w:rPr>
              <w:t>2</w:t>
            </w:r>
            <w:r>
              <w:rPr>
                <w:rFonts w:hint="eastAsia"/>
                <w:color w:val="auto"/>
                <w:kern w:val="0"/>
              </w:rPr>
              <w:t>）、1栋单独的平房（建筑面积约100m</w:t>
            </w:r>
            <w:r>
              <w:rPr>
                <w:rFonts w:hint="eastAsia"/>
                <w:color w:val="auto"/>
                <w:kern w:val="0"/>
                <w:vertAlign w:val="superscript"/>
              </w:rPr>
              <w:t>2</w:t>
            </w:r>
            <w:r>
              <w:rPr>
                <w:rFonts w:hint="eastAsia"/>
                <w:color w:val="auto"/>
                <w:kern w:val="0"/>
              </w:rPr>
              <w:t>）。项目</w:t>
            </w:r>
            <w:r>
              <w:rPr>
                <w:rFonts w:hint="default" w:ascii="宋体" w:hAnsi="宋体"/>
                <w:color w:val="auto"/>
                <w:kern w:val="0"/>
              </w:rPr>
              <w:t>医疗功能单元划分及楼层分布汇总详见下表。</w:t>
            </w:r>
          </w:p>
          <w:p w14:paraId="08AE8AC8">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eastAsia="黑体"/>
                <w:color w:val="auto"/>
                <w:kern w:val="0"/>
                <w:sz w:val="18"/>
                <w:szCs w:val="20"/>
              </w:rPr>
            </w:pPr>
            <w:r>
              <w:rPr>
                <w:rFonts w:hint="default" w:ascii="黑体" w:hAnsi="黑体" w:eastAsia="黑体"/>
                <w:color w:val="auto"/>
                <w:kern w:val="0"/>
                <w:sz w:val="18"/>
                <w:szCs w:val="20"/>
              </w:rPr>
              <w:t>表</w:t>
            </w:r>
            <w:r>
              <w:rPr>
                <w:rFonts w:hint="default" w:eastAsia="黑体"/>
                <w:color w:val="auto"/>
                <w:kern w:val="0"/>
                <w:sz w:val="18"/>
                <w:szCs w:val="20"/>
              </w:rPr>
              <w:t>2-</w:t>
            </w:r>
            <w:r>
              <w:rPr>
                <w:rFonts w:hint="eastAsia" w:eastAsia="黑体"/>
                <w:color w:val="auto"/>
                <w:kern w:val="0"/>
                <w:sz w:val="18"/>
                <w:szCs w:val="20"/>
              </w:rPr>
              <w:t>1</w:t>
            </w:r>
            <w:r>
              <w:rPr>
                <w:rFonts w:hint="default" w:eastAsia="黑体"/>
                <w:color w:val="auto"/>
                <w:kern w:val="0"/>
                <w:sz w:val="18"/>
                <w:szCs w:val="20"/>
              </w:rPr>
              <w:t xml:space="preserve">  </w:t>
            </w:r>
            <w:r>
              <w:rPr>
                <w:rFonts w:hint="eastAsia" w:eastAsia="黑体"/>
                <w:color w:val="auto"/>
                <w:kern w:val="0"/>
                <w:sz w:val="18"/>
                <w:szCs w:val="20"/>
                <w:lang w:val="en-US" w:eastAsia="zh-CN"/>
              </w:rPr>
              <w:t xml:space="preserve">  </w:t>
            </w:r>
            <w:r>
              <w:rPr>
                <w:rFonts w:hint="default" w:ascii="黑体" w:hAnsi="黑体" w:eastAsia="黑体"/>
                <w:color w:val="auto"/>
                <w:kern w:val="0"/>
                <w:sz w:val="18"/>
                <w:szCs w:val="20"/>
              </w:rPr>
              <w:t>项目楼层科室设置情况一览表</w:t>
            </w:r>
          </w:p>
          <w:tbl>
            <w:tblPr>
              <w:tblStyle w:val="13"/>
              <w:tblW w:w="78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421"/>
              <w:gridCol w:w="434"/>
              <w:gridCol w:w="4697"/>
              <w:gridCol w:w="878"/>
              <w:gridCol w:w="858"/>
            </w:tblGrid>
            <w:tr w14:paraId="1B98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059B5948">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
                      <w:color w:val="auto"/>
                      <w:sz w:val="18"/>
                      <w:szCs w:val="18"/>
                    </w:rPr>
                  </w:pPr>
                  <w:r>
                    <w:rPr>
                      <w:rFonts w:hint="default" w:ascii="宋体" w:hAnsi="宋体"/>
                      <w:b/>
                      <w:color w:val="auto"/>
                      <w:sz w:val="18"/>
                      <w:szCs w:val="18"/>
                    </w:rPr>
                    <w:t>序号</w:t>
                  </w:r>
                </w:p>
              </w:tc>
              <w:tc>
                <w:tcPr>
                  <w:tcW w:w="852" w:type="dxa"/>
                  <w:gridSpan w:val="2"/>
                  <w:tcBorders>
                    <w:top w:val="single" w:color="auto" w:sz="4" w:space="0"/>
                    <w:left w:val="single" w:color="auto" w:sz="4" w:space="0"/>
                    <w:bottom w:val="single" w:color="auto" w:sz="4" w:space="0"/>
                    <w:right w:val="single" w:color="auto" w:sz="4" w:space="0"/>
                  </w:tcBorders>
                  <w:vAlign w:val="center"/>
                </w:tcPr>
                <w:p w14:paraId="221A2614">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
                      <w:color w:val="auto"/>
                      <w:sz w:val="18"/>
                      <w:szCs w:val="18"/>
                    </w:rPr>
                  </w:pPr>
                  <w:r>
                    <w:rPr>
                      <w:rFonts w:hint="default" w:ascii="宋体" w:hAnsi="宋体"/>
                      <w:b/>
                      <w:color w:val="auto"/>
                      <w:sz w:val="18"/>
                      <w:szCs w:val="18"/>
                    </w:rPr>
                    <w:t>楼层</w:t>
                  </w:r>
                </w:p>
              </w:tc>
              <w:tc>
                <w:tcPr>
                  <w:tcW w:w="4699" w:type="dxa"/>
                  <w:tcBorders>
                    <w:top w:val="single" w:color="auto" w:sz="4" w:space="0"/>
                    <w:left w:val="single" w:color="auto" w:sz="4" w:space="0"/>
                    <w:bottom w:val="single" w:color="auto" w:sz="4" w:space="0"/>
                    <w:right w:val="single" w:color="auto" w:sz="4" w:space="0"/>
                  </w:tcBorders>
                  <w:vAlign w:val="center"/>
                </w:tcPr>
                <w:p w14:paraId="564C4DD5">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
                      <w:color w:val="auto"/>
                      <w:sz w:val="18"/>
                      <w:szCs w:val="18"/>
                    </w:rPr>
                  </w:pPr>
                  <w:r>
                    <w:rPr>
                      <w:rFonts w:hint="default" w:ascii="宋体" w:hAnsi="宋体"/>
                      <w:b/>
                      <w:color w:val="auto"/>
                      <w:sz w:val="18"/>
                      <w:szCs w:val="18"/>
                    </w:rPr>
                    <w:t>主要功能</w:t>
                  </w:r>
                </w:p>
              </w:tc>
              <w:tc>
                <w:tcPr>
                  <w:tcW w:w="878" w:type="dxa"/>
                  <w:tcBorders>
                    <w:top w:val="single" w:color="auto" w:sz="4" w:space="0"/>
                    <w:left w:val="single" w:color="auto" w:sz="4" w:space="0"/>
                    <w:bottom w:val="single" w:color="auto" w:sz="4" w:space="0"/>
                    <w:right w:val="single" w:color="auto" w:sz="4" w:space="0"/>
                  </w:tcBorders>
                  <w:vAlign w:val="center"/>
                </w:tcPr>
                <w:p w14:paraId="0B5CAB2A">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
                      <w:color w:val="auto"/>
                      <w:sz w:val="18"/>
                      <w:szCs w:val="18"/>
                    </w:rPr>
                  </w:pPr>
                  <w:r>
                    <w:rPr>
                      <w:rFonts w:hint="default" w:ascii="宋体" w:hAnsi="宋体"/>
                      <w:b/>
                      <w:color w:val="auto"/>
                      <w:sz w:val="18"/>
                      <w:szCs w:val="18"/>
                    </w:rPr>
                    <w:t>建筑面积</w:t>
                  </w:r>
                </w:p>
              </w:tc>
              <w:tc>
                <w:tcPr>
                  <w:tcW w:w="855" w:type="dxa"/>
                  <w:tcBorders>
                    <w:top w:val="single" w:color="auto" w:sz="4" w:space="0"/>
                    <w:left w:val="single" w:color="auto" w:sz="4" w:space="0"/>
                    <w:bottom w:val="single" w:color="auto" w:sz="4" w:space="0"/>
                    <w:right w:val="single" w:color="auto" w:sz="4" w:space="0"/>
                  </w:tcBorders>
                  <w:vAlign w:val="center"/>
                </w:tcPr>
                <w:p w14:paraId="6058EF74">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
                      <w:color w:val="auto"/>
                      <w:sz w:val="18"/>
                      <w:szCs w:val="18"/>
                    </w:rPr>
                  </w:pPr>
                  <w:r>
                    <w:rPr>
                      <w:rFonts w:hint="default" w:ascii="宋体" w:hAnsi="宋体"/>
                      <w:b/>
                      <w:color w:val="auto"/>
                      <w:sz w:val="18"/>
                      <w:szCs w:val="18"/>
                    </w:rPr>
                    <w:t>备注</w:t>
                  </w:r>
                </w:p>
              </w:tc>
            </w:tr>
            <w:tr w14:paraId="288F6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19F4D93A">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default"/>
                      <w:bCs/>
                      <w:color w:val="auto"/>
                      <w:sz w:val="18"/>
                      <w:szCs w:val="18"/>
                    </w:rPr>
                    <w:t>1</w:t>
                  </w:r>
                </w:p>
              </w:tc>
              <w:tc>
                <w:tcPr>
                  <w:tcW w:w="421" w:type="dxa"/>
                  <w:vMerge w:val="restart"/>
                  <w:tcBorders>
                    <w:top w:val="single" w:color="auto" w:sz="4" w:space="0"/>
                    <w:left w:val="single" w:color="auto" w:sz="4" w:space="0"/>
                    <w:right w:val="single" w:color="auto" w:sz="4" w:space="0"/>
                  </w:tcBorders>
                  <w:vAlign w:val="center"/>
                </w:tcPr>
                <w:p w14:paraId="7607044B">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独栋医疗</w:t>
                  </w:r>
                  <w:r>
                    <w:rPr>
                      <w:rFonts w:hint="default"/>
                    </w:rPr>
                    <w:drawing>
                      <wp:anchor distT="0" distB="0" distL="114300" distR="114300" simplePos="0" relativeHeight="251659264" behindDoc="1" locked="0" layoutInCell="1" allowOverlap="1">
                        <wp:simplePos x="0" y="0"/>
                        <wp:positionH relativeFrom="column">
                          <wp:posOffset>-5891530</wp:posOffset>
                        </wp:positionH>
                        <wp:positionV relativeFrom="paragraph">
                          <wp:posOffset>-100754180</wp:posOffset>
                        </wp:positionV>
                        <wp:extent cx="7226300" cy="5273040"/>
                        <wp:effectExtent l="0" t="0" r="12700" b="3810"/>
                        <wp:wrapNone/>
                        <wp:docPr id="1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
                                <pic:cNvPicPr>
                                  <a:picLocks noChangeAspect="1"/>
                                </pic:cNvPicPr>
                              </pic:nvPicPr>
                              <pic:blipFill>
                                <a:blip r:embed="rId7"/>
                                <a:stretch>
                                  <a:fillRect/>
                                </a:stretch>
                              </pic:blipFill>
                              <pic:spPr>
                                <a:xfrm>
                                  <a:off x="0" y="0"/>
                                  <a:ext cx="7226300" cy="5273040"/>
                                </a:xfrm>
                                <a:prstGeom prst="rect">
                                  <a:avLst/>
                                </a:prstGeom>
                                <a:noFill/>
                                <a:ln>
                                  <a:noFill/>
                                </a:ln>
                              </pic:spPr>
                            </pic:pic>
                          </a:graphicData>
                        </a:graphic>
                      </wp:anchor>
                    </w:drawing>
                  </w:r>
                  <w:r>
                    <w:rPr>
                      <w:rFonts w:hint="eastAsia"/>
                      <w:bCs/>
                      <w:color w:val="auto"/>
                      <w:sz w:val="18"/>
                      <w:szCs w:val="18"/>
                    </w:rPr>
                    <w:t>楼</w:t>
                  </w:r>
                </w:p>
              </w:tc>
              <w:tc>
                <w:tcPr>
                  <w:tcW w:w="434" w:type="dxa"/>
                  <w:tcBorders>
                    <w:top w:val="single" w:color="auto" w:sz="4" w:space="0"/>
                    <w:left w:val="single" w:color="auto" w:sz="4" w:space="0"/>
                    <w:bottom w:val="single" w:color="auto" w:sz="4" w:space="0"/>
                    <w:right w:val="single" w:color="auto" w:sz="4" w:space="0"/>
                  </w:tcBorders>
                  <w:vAlign w:val="center"/>
                </w:tcPr>
                <w:p w14:paraId="3C629C0A">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default"/>
                      <w:bCs/>
                      <w:color w:val="auto"/>
                      <w:sz w:val="18"/>
                      <w:szCs w:val="18"/>
                    </w:rPr>
                    <w:t>1F</w:t>
                  </w:r>
                </w:p>
              </w:tc>
              <w:tc>
                <w:tcPr>
                  <w:tcW w:w="4696" w:type="dxa"/>
                  <w:tcBorders>
                    <w:top w:val="single" w:color="auto" w:sz="4" w:space="0"/>
                    <w:left w:val="single" w:color="auto" w:sz="4" w:space="0"/>
                    <w:bottom w:val="single" w:color="auto" w:sz="4" w:space="0"/>
                    <w:right w:val="single" w:color="auto" w:sz="4" w:space="0"/>
                  </w:tcBorders>
                  <w:vAlign w:val="center"/>
                </w:tcPr>
                <w:p w14:paraId="6204477A">
                  <w:pPr>
                    <w:keepNext w:val="0"/>
                    <w:keepLines w:val="0"/>
                    <w:suppressLineNumbers w:val="0"/>
                    <w:autoSpaceDE w:val="0"/>
                    <w:autoSpaceDN w:val="0"/>
                    <w:adjustRightInd w:val="0"/>
                    <w:spacing w:before="0" w:beforeAutospacing="0" w:after="0" w:afterAutospacing="0" w:line="320" w:lineRule="exact"/>
                    <w:ind w:left="-53" w:leftChars="-25" w:right="-53" w:rightChars="-25"/>
                    <w:rPr>
                      <w:rFonts w:hint="default"/>
                      <w:bCs/>
                      <w:color w:val="auto"/>
                      <w:sz w:val="18"/>
                      <w:szCs w:val="18"/>
                    </w:rPr>
                  </w:pPr>
                  <w:r>
                    <w:rPr>
                      <w:rFonts w:hint="eastAsia"/>
                      <w:color w:val="auto"/>
                      <w:sz w:val="18"/>
                      <w:szCs w:val="18"/>
                    </w:rPr>
                    <w:t>接待大厅、急诊科、内科诊室、中医针灸推拿科、医保办公室、挂号收费室、药房、库房、药品库、外科诊室、医生办公室、煎药室、</w:t>
                  </w:r>
                  <w:r>
                    <w:rPr>
                      <w:rFonts w:hint="eastAsia"/>
                      <w:color w:val="auto"/>
                      <w:sz w:val="18"/>
                      <w:szCs w:val="18"/>
                      <w:lang w:val="en-US" w:eastAsia="zh-CN"/>
                    </w:rPr>
                    <w:t>精神科、</w:t>
                  </w:r>
                  <w:r>
                    <w:rPr>
                      <w:rFonts w:hint="eastAsia"/>
                      <w:color w:val="auto"/>
                      <w:sz w:val="18"/>
                      <w:szCs w:val="18"/>
                    </w:rPr>
                    <w:t>养老评估室，中医康复科、检验科、储氧室、心电图室、彩超室、医废间</w:t>
                  </w:r>
                </w:p>
              </w:tc>
              <w:tc>
                <w:tcPr>
                  <w:tcW w:w="878" w:type="dxa"/>
                  <w:tcBorders>
                    <w:top w:val="single" w:color="auto" w:sz="4" w:space="0"/>
                    <w:left w:val="single" w:color="auto" w:sz="4" w:space="0"/>
                    <w:bottom w:val="single" w:color="auto" w:sz="4" w:space="0"/>
                    <w:right w:val="single" w:color="auto" w:sz="4" w:space="0"/>
                  </w:tcBorders>
                  <w:vAlign w:val="center"/>
                </w:tcPr>
                <w:p w14:paraId="7616658F">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750</w:t>
                  </w:r>
                  <w:r>
                    <w:rPr>
                      <w:rFonts w:hint="default"/>
                      <w:bCs/>
                      <w:color w:val="auto"/>
                      <w:sz w:val="18"/>
                      <w:szCs w:val="18"/>
                    </w:rPr>
                    <w:t>m</w:t>
                  </w:r>
                  <w:r>
                    <w:rPr>
                      <w:rFonts w:hint="default"/>
                      <w:bCs/>
                      <w:color w:val="auto"/>
                      <w:sz w:val="18"/>
                      <w:szCs w:val="18"/>
                      <w:vertAlign w:val="superscript"/>
                    </w:rPr>
                    <w:t>2</w:t>
                  </w:r>
                </w:p>
              </w:tc>
              <w:tc>
                <w:tcPr>
                  <w:tcW w:w="858" w:type="dxa"/>
                  <w:tcBorders>
                    <w:top w:val="single" w:color="auto" w:sz="4" w:space="0"/>
                    <w:left w:val="single" w:color="auto" w:sz="4" w:space="0"/>
                    <w:bottom w:val="single" w:color="auto" w:sz="4" w:space="0"/>
                    <w:right w:val="single" w:color="auto" w:sz="4" w:space="0"/>
                  </w:tcBorders>
                  <w:vAlign w:val="center"/>
                </w:tcPr>
                <w:p w14:paraId="459E524A">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ascii="宋体" w:hAnsi="宋体"/>
                      <w:bCs/>
                      <w:color w:val="auto"/>
                      <w:sz w:val="18"/>
                      <w:szCs w:val="18"/>
                    </w:rPr>
                  </w:pPr>
                  <w:r>
                    <w:rPr>
                      <w:rFonts w:hint="eastAsia" w:ascii="宋体" w:hAnsi="宋体"/>
                      <w:bCs/>
                      <w:color w:val="auto"/>
                      <w:sz w:val="18"/>
                      <w:szCs w:val="18"/>
                    </w:rPr>
                    <w:t>门诊</w:t>
                  </w:r>
                </w:p>
              </w:tc>
            </w:tr>
            <w:tr w14:paraId="4149C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7BDF95EB">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default"/>
                      <w:bCs/>
                      <w:color w:val="auto"/>
                      <w:sz w:val="18"/>
                      <w:szCs w:val="18"/>
                    </w:rPr>
                    <w:t>2</w:t>
                  </w:r>
                </w:p>
              </w:tc>
              <w:tc>
                <w:tcPr>
                  <w:tcW w:w="421" w:type="dxa"/>
                  <w:vMerge w:val="continue"/>
                  <w:tcBorders>
                    <w:left w:val="single" w:color="auto" w:sz="4" w:space="0"/>
                    <w:right w:val="single" w:color="auto" w:sz="4" w:space="0"/>
                  </w:tcBorders>
                  <w:vAlign w:val="center"/>
                </w:tcPr>
                <w:p w14:paraId="66CFE8D4">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p>
              </w:tc>
              <w:tc>
                <w:tcPr>
                  <w:tcW w:w="434" w:type="dxa"/>
                  <w:tcBorders>
                    <w:top w:val="single" w:color="auto" w:sz="4" w:space="0"/>
                    <w:left w:val="single" w:color="auto" w:sz="4" w:space="0"/>
                    <w:bottom w:val="single" w:color="auto" w:sz="4" w:space="0"/>
                    <w:right w:val="single" w:color="auto" w:sz="4" w:space="0"/>
                  </w:tcBorders>
                  <w:vAlign w:val="center"/>
                </w:tcPr>
                <w:p w14:paraId="53414718">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2</w:t>
                  </w:r>
                  <w:r>
                    <w:rPr>
                      <w:rFonts w:hint="default"/>
                      <w:bCs/>
                      <w:color w:val="auto"/>
                      <w:sz w:val="18"/>
                      <w:szCs w:val="18"/>
                    </w:rPr>
                    <w:t>F</w:t>
                  </w:r>
                </w:p>
              </w:tc>
              <w:tc>
                <w:tcPr>
                  <w:tcW w:w="4696" w:type="dxa"/>
                  <w:tcBorders>
                    <w:top w:val="single" w:color="auto" w:sz="4" w:space="0"/>
                    <w:left w:val="single" w:color="auto" w:sz="4" w:space="0"/>
                    <w:bottom w:val="single" w:color="auto" w:sz="4" w:space="0"/>
                    <w:right w:val="single" w:color="auto" w:sz="4" w:space="0"/>
                  </w:tcBorders>
                  <w:vAlign w:val="center"/>
                </w:tcPr>
                <w:p w14:paraId="1FF8B971">
                  <w:pPr>
                    <w:keepNext w:val="0"/>
                    <w:keepLines w:val="0"/>
                    <w:suppressLineNumbers w:val="0"/>
                    <w:autoSpaceDE w:val="0"/>
                    <w:autoSpaceDN w:val="0"/>
                    <w:adjustRightInd w:val="0"/>
                    <w:spacing w:before="0" w:beforeAutospacing="0" w:after="0" w:afterAutospacing="0" w:line="320" w:lineRule="exact"/>
                    <w:ind w:left="-53" w:leftChars="-25" w:right="-53" w:rightChars="-25"/>
                    <w:rPr>
                      <w:rFonts w:hint="default"/>
                      <w:bCs/>
                      <w:color w:val="auto"/>
                      <w:sz w:val="18"/>
                      <w:szCs w:val="18"/>
                    </w:rPr>
                  </w:pPr>
                  <w:r>
                    <w:rPr>
                      <w:rFonts w:hint="eastAsia"/>
                      <w:color w:val="auto"/>
                      <w:sz w:val="18"/>
                      <w:szCs w:val="18"/>
                    </w:rPr>
                    <w:t>内科和中医老年科病房、多功能室、储藏室</w:t>
                  </w:r>
                </w:p>
              </w:tc>
              <w:tc>
                <w:tcPr>
                  <w:tcW w:w="878" w:type="dxa"/>
                  <w:tcBorders>
                    <w:top w:val="single" w:color="auto" w:sz="4" w:space="0"/>
                    <w:left w:val="single" w:color="auto" w:sz="4" w:space="0"/>
                    <w:bottom w:val="single" w:color="auto" w:sz="4" w:space="0"/>
                    <w:right w:val="single" w:color="auto" w:sz="4" w:space="0"/>
                  </w:tcBorders>
                  <w:vAlign w:val="center"/>
                </w:tcPr>
                <w:p w14:paraId="7D6CFF0E">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750</w:t>
                  </w:r>
                  <w:r>
                    <w:rPr>
                      <w:rFonts w:hint="default"/>
                      <w:bCs/>
                      <w:color w:val="auto"/>
                      <w:sz w:val="18"/>
                      <w:szCs w:val="18"/>
                    </w:rPr>
                    <w:t>m</w:t>
                  </w:r>
                  <w:r>
                    <w:rPr>
                      <w:rFonts w:hint="default"/>
                      <w:bCs/>
                      <w:color w:val="auto"/>
                      <w:sz w:val="18"/>
                      <w:szCs w:val="18"/>
                      <w:vertAlign w:val="superscript"/>
                    </w:rPr>
                    <w:t>2</w:t>
                  </w:r>
                </w:p>
              </w:tc>
              <w:tc>
                <w:tcPr>
                  <w:tcW w:w="858" w:type="dxa"/>
                  <w:tcBorders>
                    <w:top w:val="single" w:color="auto" w:sz="4" w:space="0"/>
                    <w:left w:val="single" w:color="auto" w:sz="4" w:space="0"/>
                    <w:bottom w:val="single" w:color="auto" w:sz="4" w:space="0"/>
                    <w:right w:val="single" w:color="auto" w:sz="4" w:space="0"/>
                  </w:tcBorders>
                  <w:vAlign w:val="center"/>
                </w:tcPr>
                <w:p w14:paraId="4880B618">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ascii="宋体" w:hAnsi="宋体"/>
                      <w:bCs/>
                      <w:color w:val="auto"/>
                      <w:sz w:val="18"/>
                      <w:szCs w:val="18"/>
                    </w:rPr>
                    <w:t>病房</w:t>
                  </w:r>
                </w:p>
              </w:tc>
            </w:tr>
            <w:tr w14:paraId="1F5A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7730649D">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3</w:t>
                  </w:r>
                </w:p>
              </w:tc>
              <w:tc>
                <w:tcPr>
                  <w:tcW w:w="421" w:type="dxa"/>
                  <w:vMerge w:val="continue"/>
                  <w:tcBorders>
                    <w:left w:val="single" w:color="auto" w:sz="4" w:space="0"/>
                    <w:right w:val="single" w:color="auto" w:sz="4" w:space="0"/>
                  </w:tcBorders>
                  <w:vAlign w:val="center"/>
                </w:tcPr>
                <w:p w14:paraId="6A5BFF3F">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p>
              </w:tc>
              <w:tc>
                <w:tcPr>
                  <w:tcW w:w="434" w:type="dxa"/>
                  <w:tcBorders>
                    <w:top w:val="single" w:color="auto" w:sz="4" w:space="0"/>
                    <w:left w:val="single" w:color="auto" w:sz="4" w:space="0"/>
                    <w:bottom w:val="single" w:color="auto" w:sz="4" w:space="0"/>
                    <w:right w:val="single" w:color="auto" w:sz="4" w:space="0"/>
                  </w:tcBorders>
                  <w:vAlign w:val="center"/>
                </w:tcPr>
                <w:p w14:paraId="7BEAC588">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3F</w:t>
                  </w:r>
                </w:p>
              </w:tc>
              <w:tc>
                <w:tcPr>
                  <w:tcW w:w="4696" w:type="dxa"/>
                  <w:tcBorders>
                    <w:top w:val="single" w:color="auto" w:sz="4" w:space="0"/>
                    <w:left w:val="single" w:color="auto" w:sz="4" w:space="0"/>
                    <w:bottom w:val="single" w:color="auto" w:sz="4" w:space="0"/>
                    <w:right w:val="single" w:color="auto" w:sz="4" w:space="0"/>
                  </w:tcBorders>
                  <w:vAlign w:val="center"/>
                </w:tcPr>
                <w:p w14:paraId="799EDCEA">
                  <w:pPr>
                    <w:keepNext w:val="0"/>
                    <w:keepLines w:val="0"/>
                    <w:suppressLineNumbers w:val="0"/>
                    <w:autoSpaceDE w:val="0"/>
                    <w:autoSpaceDN w:val="0"/>
                    <w:adjustRightInd w:val="0"/>
                    <w:spacing w:before="0" w:beforeAutospacing="0" w:after="0" w:afterAutospacing="0" w:line="320" w:lineRule="exact"/>
                    <w:ind w:left="-53" w:leftChars="-25" w:right="-53" w:rightChars="-25"/>
                    <w:rPr>
                      <w:rFonts w:hint="default"/>
                      <w:bCs/>
                      <w:color w:val="auto"/>
                      <w:sz w:val="18"/>
                      <w:szCs w:val="18"/>
                    </w:rPr>
                  </w:pPr>
                  <w:r>
                    <w:rPr>
                      <w:rFonts w:hint="eastAsia"/>
                      <w:bCs/>
                      <w:color w:val="auto"/>
                      <w:sz w:val="18"/>
                      <w:szCs w:val="18"/>
                    </w:rPr>
                    <w:t>病房（中医针灸科、中医推拿科、中医康复科）、治疗室、医生办公室、护士值班室和护士站</w:t>
                  </w:r>
                </w:p>
              </w:tc>
              <w:tc>
                <w:tcPr>
                  <w:tcW w:w="878" w:type="dxa"/>
                  <w:tcBorders>
                    <w:top w:val="single" w:color="auto" w:sz="4" w:space="0"/>
                    <w:left w:val="single" w:color="auto" w:sz="4" w:space="0"/>
                    <w:bottom w:val="single" w:color="auto" w:sz="4" w:space="0"/>
                    <w:right w:val="single" w:color="auto" w:sz="4" w:space="0"/>
                  </w:tcBorders>
                  <w:vAlign w:val="center"/>
                </w:tcPr>
                <w:p w14:paraId="64281A27">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750</w:t>
                  </w:r>
                  <w:r>
                    <w:rPr>
                      <w:rFonts w:hint="default"/>
                      <w:bCs/>
                      <w:color w:val="auto"/>
                      <w:sz w:val="18"/>
                      <w:szCs w:val="18"/>
                    </w:rPr>
                    <w:t>m</w:t>
                  </w:r>
                  <w:r>
                    <w:rPr>
                      <w:rFonts w:hint="default"/>
                      <w:bCs/>
                      <w:color w:val="auto"/>
                      <w:sz w:val="18"/>
                      <w:szCs w:val="18"/>
                      <w:vertAlign w:val="superscript"/>
                    </w:rPr>
                    <w:t>2</w:t>
                  </w:r>
                </w:p>
              </w:tc>
              <w:tc>
                <w:tcPr>
                  <w:tcW w:w="858" w:type="dxa"/>
                  <w:tcBorders>
                    <w:top w:val="single" w:color="auto" w:sz="4" w:space="0"/>
                    <w:left w:val="single" w:color="auto" w:sz="4" w:space="0"/>
                    <w:bottom w:val="single" w:color="auto" w:sz="4" w:space="0"/>
                    <w:right w:val="single" w:color="auto" w:sz="4" w:space="0"/>
                  </w:tcBorders>
                  <w:vAlign w:val="center"/>
                </w:tcPr>
                <w:p w14:paraId="72BDDB8F">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ascii="宋体" w:hAnsi="宋体"/>
                      <w:bCs/>
                      <w:color w:val="auto"/>
                      <w:sz w:val="18"/>
                      <w:szCs w:val="18"/>
                    </w:rPr>
                  </w:pPr>
                  <w:r>
                    <w:rPr>
                      <w:rFonts w:hint="eastAsia" w:ascii="宋体" w:hAnsi="宋体"/>
                      <w:bCs/>
                      <w:color w:val="auto"/>
                      <w:sz w:val="18"/>
                      <w:szCs w:val="18"/>
                    </w:rPr>
                    <w:t>病房</w:t>
                  </w:r>
                </w:p>
              </w:tc>
            </w:tr>
            <w:tr w14:paraId="50052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24C8D17E">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4</w:t>
                  </w:r>
                </w:p>
              </w:tc>
              <w:tc>
                <w:tcPr>
                  <w:tcW w:w="421" w:type="dxa"/>
                  <w:vMerge w:val="continue"/>
                  <w:tcBorders>
                    <w:left w:val="single" w:color="auto" w:sz="4" w:space="0"/>
                    <w:bottom w:val="single" w:color="auto" w:sz="4" w:space="0"/>
                    <w:right w:val="single" w:color="auto" w:sz="4" w:space="0"/>
                  </w:tcBorders>
                  <w:vAlign w:val="center"/>
                </w:tcPr>
                <w:p w14:paraId="6CE34CB9">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p>
              </w:tc>
              <w:tc>
                <w:tcPr>
                  <w:tcW w:w="434" w:type="dxa"/>
                  <w:tcBorders>
                    <w:top w:val="single" w:color="auto" w:sz="4" w:space="0"/>
                    <w:left w:val="single" w:color="auto" w:sz="4" w:space="0"/>
                    <w:bottom w:val="single" w:color="auto" w:sz="4" w:space="0"/>
                    <w:right w:val="single" w:color="auto" w:sz="4" w:space="0"/>
                  </w:tcBorders>
                  <w:vAlign w:val="center"/>
                </w:tcPr>
                <w:p w14:paraId="7078EDCF">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4F</w:t>
                  </w:r>
                </w:p>
              </w:tc>
              <w:tc>
                <w:tcPr>
                  <w:tcW w:w="4696" w:type="dxa"/>
                  <w:tcBorders>
                    <w:top w:val="single" w:color="auto" w:sz="4" w:space="0"/>
                    <w:left w:val="single" w:color="auto" w:sz="4" w:space="0"/>
                    <w:bottom w:val="single" w:color="auto" w:sz="4" w:space="0"/>
                    <w:right w:val="single" w:color="auto" w:sz="4" w:space="0"/>
                  </w:tcBorders>
                  <w:vAlign w:val="center"/>
                </w:tcPr>
                <w:p w14:paraId="7D904BAC">
                  <w:pPr>
                    <w:keepNext w:val="0"/>
                    <w:keepLines w:val="0"/>
                    <w:suppressLineNumbers w:val="0"/>
                    <w:autoSpaceDE w:val="0"/>
                    <w:autoSpaceDN w:val="0"/>
                    <w:adjustRightInd w:val="0"/>
                    <w:spacing w:before="0" w:beforeAutospacing="0" w:after="0" w:afterAutospacing="0" w:line="320" w:lineRule="exact"/>
                    <w:ind w:left="-53" w:leftChars="-25" w:right="-53" w:rightChars="-25"/>
                    <w:rPr>
                      <w:rFonts w:hint="default"/>
                      <w:bCs/>
                      <w:color w:val="auto"/>
                      <w:sz w:val="18"/>
                      <w:szCs w:val="18"/>
                    </w:rPr>
                  </w:pPr>
                  <w:r>
                    <w:rPr>
                      <w:rFonts w:hint="eastAsia"/>
                      <w:bCs/>
                      <w:color w:val="auto"/>
                      <w:sz w:val="18"/>
                      <w:szCs w:val="18"/>
                    </w:rPr>
                    <w:t>血液透析中心（针对肾病患者，不接收传染病患者（除乙肝患者））</w:t>
                  </w:r>
                </w:p>
              </w:tc>
              <w:tc>
                <w:tcPr>
                  <w:tcW w:w="878" w:type="dxa"/>
                  <w:tcBorders>
                    <w:top w:val="single" w:color="auto" w:sz="4" w:space="0"/>
                    <w:left w:val="single" w:color="auto" w:sz="4" w:space="0"/>
                    <w:bottom w:val="single" w:color="auto" w:sz="4" w:space="0"/>
                    <w:right w:val="single" w:color="auto" w:sz="4" w:space="0"/>
                  </w:tcBorders>
                  <w:vAlign w:val="center"/>
                </w:tcPr>
                <w:p w14:paraId="750141CF">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750</w:t>
                  </w:r>
                  <w:r>
                    <w:rPr>
                      <w:rFonts w:hint="default"/>
                      <w:bCs/>
                      <w:color w:val="auto"/>
                      <w:sz w:val="18"/>
                      <w:szCs w:val="18"/>
                    </w:rPr>
                    <w:t>m</w:t>
                  </w:r>
                  <w:r>
                    <w:rPr>
                      <w:rFonts w:hint="default"/>
                      <w:bCs/>
                      <w:color w:val="auto"/>
                      <w:sz w:val="18"/>
                      <w:szCs w:val="18"/>
                      <w:vertAlign w:val="superscript"/>
                    </w:rPr>
                    <w:t>2</w:t>
                  </w:r>
                </w:p>
              </w:tc>
              <w:tc>
                <w:tcPr>
                  <w:tcW w:w="858" w:type="dxa"/>
                  <w:tcBorders>
                    <w:top w:val="single" w:color="auto" w:sz="4" w:space="0"/>
                    <w:left w:val="single" w:color="auto" w:sz="4" w:space="0"/>
                    <w:bottom w:val="single" w:color="auto" w:sz="4" w:space="0"/>
                    <w:right w:val="single" w:color="auto" w:sz="4" w:space="0"/>
                  </w:tcBorders>
                  <w:vAlign w:val="center"/>
                </w:tcPr>
                <w:p w14:paraId="46A2FA4E">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ascii="宋体" w:hAnsi="宋体"/>
                      <w:bCs/>
                      <w:color w:val="auto"/>
                      <w:sz w:val="18"/>
                      <w:szCs w:val="18"/>
                    </w:rPr>
                  </w:pPr>
                  <w:r>
                    <w:rPr>
                      <w:rFonts w:hint="eastAsia" w:ascii="宋体" w:hAnsi="宋体"/>
                      <w:bCs/>
                      <w:color w:val="auto"/>
                      <w:sz w:val="18"/>
                      <w:szCs w:val="18"/>
                    </w:rPr>
                    <w:t>血透中心</w:t>
                  </w:r>
                </w:p>
              </w:tc>
            </w:tr>
            <w:tr w14:paraId="00DB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6" w:type="dxa"/>
                  <w:tcBorders>
                    <w:top w:val="single" w:color="auto" w:sz="4" w:space="0"/>
                    <w:left w:val="single" w:color="auto" w:sz="4" w:space="0"/>
                    <w:bottom w:val="single" w:color="auto" w:sz="4" w:space="0"/>
                    <w:right w:val="single" w:color="auto" w:sz="4" w:space="0"/>
                  </w:tcBorders>
                  <w:vAlign w:val="center"/>
                </w:tcPr>
                <w:p w14:paraId="5236604F">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5</w:t>
                  </w:r>
                </w:p>
              </w:tc>
              <w:tc>
                <w:tcPr>
                  <w:tcW w:w="852" w:type="dxa"/>
                  <w:gridSpan w:val="2"/>
                  <w:tcBorders>
                    <w:top w:val="single" w:color="auto" w:sz="4" w:space="0"/>
                    <w:left w:val="single" w:color="auto" w:sz="4" w:space="0"/>
                    <w:bottom w:val="single" w:color="auto" w:sz="4" w:space="0"/>
                    <w:right w:val="single" w:color="auto" w:sz="4" w:space="0"/>
                  </w:tcBorders>
                  <w:vAlign w:val="center"/>
                </w:tcPr>
                <w:p w14:paraId="619FD883">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平房</w:t>
                  </w:r>
                </w:p>
              </w:tc>
              <w:tc>
                <w:tcPr>
                  <w:tcW w:w="4699" w:type="dxa"/>
                  <w:tcBorders>
                    <w:top w:val="single" w:color="auto" w:sz="4" w:space="0"/>
                    <w:left w:val="single" w:color="auto" w:sz="4" w:space="0"/>
                    <w:bottom w:val="single" w:color="auto" w:sz="4" w:space="0"/>
                    <w:right w:val="single" w:color="auto" w:sz="4" w:space="0"/>
                  </w:tcBorders>
                  <w:vAlign w:val="center"/>
                </w:tcPr>
                <w:p w14:paraId="6189669A">
                  <w:pPr>
                    <w:keepNext w:val="0"/>
                    <w:keepLines w:val="0"/>
                    <w:suppressLineNumbers w:val="0"/>
                    <w:autoSpaceDE w:val="0"/>
                    <w:autoSpaceDN w:val="0"/>
                    <w:adjustRightInd w:val="0"/>
                    <w:spacing w:before="0" w:beforeAutospacing="0" w:after="0" w:afterAutospacing="0" w:line="320" w:lineRule="exact"/>
                    <w:ind w:left="-53" w:leftChars="-25" w:right="-53" w:rightChars="-25"/>
                    <w:rPr>
                      <w:rFonts w:hint="default"/>
                      <w:bCs/>
                      <w:color w:val="auto"/>
                      <w:sz w:val="18"/>
                      <w:szCs w:val="18"/>
                    </w:rPr>
                  </w:pPr>
                  <w:r>
                    <w:rPr>
                      <w:rFonts w:hint="eastAsia"/>
                      <w:color w:val="auto"/>
                      <w:sz w:val="18"/>
                      <w:szCs w:val="18"/>
                    </w:rPr>
                    <w:t>CT、CR、污水处理站</w:t>
                  </w:r>
                </w:p>
              </w:tc>
              <w:tc>
                <w:tcPr>
                  <w:tcW w:w="878" w:type="dxa"/>
                  <w:tcBorders>
                    <w:top w:val="single" w:color="auto" w:sz="4" w:space="0"/>
                    <w:left w:val="single" w:color="auto" w:sz="4" w:space="0"/>
                    <w:bottom w:val="single" w:color="auto" w:sz="4" w:space="0"/>
                    <w:right w:val="single" w:color="auto" w:sz="4" w:space="0"/>
                  </w:tcBorders>
                  <w:vAlign w:val="center"/>
                </w:tcPr>
                <w:p w14:paraId="635991AD">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bCs/>
                      <w:color w:val="auto"/>
                      <w:sz w:val="18"/>
                      <w:szCs w:val="18"/>
                    </w:rPr>
                  </w:pPr>
                  <w:r>
                    <w:rPr>
                      <w:rFonts w:hint="eastAsia"/>
                      <w:bCs/>
                      <w:color w:val="auto"/>
                      <w:sz w:val="18"/>
                      <w:szCs w:val="18"/>
                    </w:rPr>
                    <w:t>100</w:t>
                  </w:r>
                  <w:r>
                    <w:rPr>
                      <w:rFonts w:hint="default"/>
                      <w:bCs/>
                      <w:color w:val="auto"/>
                      <w:sz w:val="18"/>
                      <w:szCs w:val="18"/>
                    </w:rPr>
                    <w:t>m</w:t>
                  </w:r>
                  <w:r>
                    <w:rPr>
                      <w:rFonts w:hint="default"/>
                      <w:bCs/>
                      <w:color w:val="auto"/>
                      <w:sz w:val="18"/>
                      <w:szCs w:val="18"/>
                      <w:vertAlign w:val="superscript"/>
                    </w:rPr>
                    <w:t>2</w:t>
                  </w:r>
                </w:p>
              </w:tc>
              <w:tc>
                <w:tcPr>
                  <w:tcW w:w="855" w:type="dxa"/>
                  <w:tcBorders>
                    <w:top w:val="single" w:color="auto" w:sz="4" w:space="0"/>
                    <w:left w:val="single" w:color="auto" w:sz="4" w:space="0"/>
                    <w:bottom w:val="single" w:color="auto" w:sz="4" w:space="0"/>
                    <w:right w:val="single" w:color="auto" w:sz="4" w:space="0"/>
                  </w:tcBorders>
                  <w:vAlign w:val="center"/>
                </w:tcPr>
                <w:p w14:paraId="54AE13B1">
                  <w:pPr>
                    <w:keepNext w:val="0"/>
                    <w:keepLines w:val="0"/>
                    <w:suppressLineNumbers w:val="0"/>
                    <w:autoSpaceDE w:val="0"/>
                    <w:autoSpaceDN w:val="0"/>
                    <w:adjustRightInd w:val="0"/>
                    <w:spacing w:before="0" w:beforeAutospacing="0" w:after="0" w:afterAutospacing="0" w:line="320" w:lineRule="exact"/>
                    <w:ind w:left="-53" w:leftChars="-25" w:right="-53" w:rightChars="-25"/>
                    <w:jc w:val="center"/>
                    <w:rPr>
                      <w:rFonts w:hint="default" w:ascii="宋体" w:hAnsi="宋体"/>
                      <w:bCs/>
                      <w:color w:val="auto"/>
                      <w:sz w:val="18"/>
                      <w:szCs w:val="18"/>
                    </w:rPr>
                  </w:pPr>
                  <w:r>
                    <w:rPr>
                      <w:rFonts w:hint="eastAsia" w:ascii="宋体" w:hAnsi="宋体"/>
                      <w:bCs/>
                      <w:color w:val="auto"/>
                      <w:sz w:val="18"/>
                      <w:szCs w:val="18"/>
                    </w:rPr>
                    <w:t>影像科</w:t>
                  </w:r>
                </w:p>
              </w:tc>
            </w:tr>
          </w:tbl>
          <w:p w14:paraId="16DF38C2">
            <w:pPr>
              <w:pStyle w:val="2"/>
              <w:keepNext w:val="0"/>
              <w:keepLines w:val="0"/>
              <w:suppressLineNumbers w:val="0"/>
              <w:spacing w:before="0" w:beforeAutospacing="0" w:after="0" w:afterAutospacing="0" w:line="400" w:lineRule="exact"/>
              <w:ind w:left="0" w:leftChars="0" w:right="0" w:firstLine="422" w:firstLineChars="200"/>
              <w:rPr>
                <w:rFonts w:hint="default"/>
                <w:b/>
                <w:color w:val="auto"/>
              </w:rPr>
            </w:pPr>
            <w:r>
              <w:rPr>
                <w:rFonts w:hint="eastAsia" w:ascii="宋体" w:hAnsi="宋体"/>
                <w:b/>
                <w:color w:val="auto"/>
              </w:rPr>
              <w:t>（</w:t>
            </w:r>
            <w:r>
              <w:rPr>
                <w:rFonts w:hint="eastAsia"/>
                <w:b/>
                <w:color w:val="auto"/>
              </w:rPr>
              <w:t>2</w:t>
            </w:r>
            <w:r>
              <w:rPr>
                <w:rFonts w:hint="eastAsia" w:ascii="宋体" w:hAnsi="宋体"/>
                <w:b/>
                <w:color w:val="auto"/>
              </w:rPr>
              <w:t>）</w:t>
            </w:r>
            <w:r>
              <w:rPr>
                <w:rFonts w:hint="default" w:ascii="宋体" w:hAnsi="宋体"/>
                <w:b/>
                <w:color w:val="auto"/>
              </w:rPr>
              <w:t>建设内容</w:t>
            </w:r>
          </w:p>
          <w:p w14:paraId="5C98ADA4">
            <w:pPr>
              <w:pStyle w:val="2"/>
              <w:keepNext w:val="0"/>
              <w:keepLines w:val="0"/>
              <w:suppressLineNumbers w:val="0"/>
              <w:spacing w:before="0" w:beforeAutospacing="0" w:after="0" w:afterAutospacing="0" w:line="400" w:lineRule="exact"/>
              <w:ind w:left="0" w:leftChars="0" w:right="0" w:firstLine="420" w:firstLineChars="200"/>
              <w:rPr>
                <w:rFonts w:hint="default"/>
                <w:bCs/>
                <w:color w:val="auto"/>
              </w:rPr>
            </w:pPr>
            <w:r>
              <w:rPr>
                <w:rFonts w:hint="eastAsia" w:ascii="宋体" w:hAnsi="宋体"/>
                <w:bCs/>
                <w:color w:val="auto"/>
              </w:rPr>
              <w:t>①</w:t>
            </w:r>
            <w:r>
              <w:rPr>
                <w:rFonts w:hint="default" w:ascii="宋体" w:hAnsi="宋体"/>
                <w:bCs/>
                <w:color w:val="auto"/>
              </w:rPr>
              <w:t>科室及床位：本项目</w:t>
            </w:r>
            <w:r>
              <w:rPr>
                <w:rFonts w:hint="eastAsia" w:ascii="宋体" w:hAnsi="宋体"/>
                <w:bCs/>
                <w:color w:val="auto"/>
              </w:rPr>
              <w:t>开设</w:t>
            </w:r>
            <w:r>
              <w:rPr>
                <w:rFonts w:hint="eastAsia"/>
                <w:bCs/>
                <w:color w:val="auto"/>
                <w:szCs w:val="21"/>
                <w:lang w:val="zh-CN"/>
              </w:rPr>
              <w:t>内科、</w:t>
            </w:r>
            <w:r>
              <w:rPr>
                <w:rFonts w:hint="eastAsia"/>
                <w:bCs/>
                <w:color w:val="auto"/>
                <w:szCs w:val="21"/>
              </w:rPr>
              <w:t>外科</w:t>
            </w:r>
            <w:r>
              <w:rPr>
                <w:rFonts w:hint="eastAsia"/>
                <w:bCs/>
                <w:color w:val="auto"/>
                <w:szCs w:val="21"/>
                <w:lang w:val="zh-CN"/>
              </w:rPr>
              <w:t>、</w:t>
            </w:r>
            <w:r>
              <w:rPr>
                <w:rFonts w:hint="eastAsia"/>
                <w:bCs/>
                <w:color w:val="auto"/>
                <w:szCs w:val="21"/>
              </w:rPr>
              <w:t>精神科、</w:t>
            </w:r>
            <w:r>
              <w:rPr>
                <w:rFonts w:hint="eastAsia"/>
                <w:bCs/>
                <w:color w:val="auto"/>
                <w:szCs w:val="21"/>
                <w:lang w:val="zh-CN"/>
              </w:rPr>
              <w:t>医学检查科、医学影像科、中医科等</w:t>
            </w:r>
            <w:r>
              <w:rPr>
                <w:rFonts w:hint="eastAsia" w:ascii="宋体" w:hAnsi="宋体"/>
                <w:bCs/>
                <w:color w:val="auto"/>
              </w:rPr>
              <w:t>。</w:t>
            </w:r>
            <w:r>
              <w:rPr>
                <w:rFonts w:hint="eastAsia"/>
                <w:bCs/>
                <w:color w:val="auto"/>
                <w:szCs w:val="21"/>
                <w:lang w:val="zh-CN"/>
              </w:rPr>
              <w:t>设置床位数80张，不含牙椅。</w:t>
            </w:r>
          </w:p>
          <w:p w14:paraId="5DD4EA62">
            <w:pPr>
              <w:pStyle w:val="2"/>
              <w:keepNext w:val="0"/>
              <w:keepLines w:val="0"/>
              <w:suppressLineNumbers w:val="0"/>
              <w:spacing w:before="0" w:beforeAutospacing="0" w:after="0" w:afterAutospacing="0" w:line="400" w:lineRule="exact"/>
              <w:ind w:left="0" w:leftChars="0" w:right="0" w:firstLine="420" w:firstLineChars="200"/>
              <w:rPr>
                <w:rFonts w:hint="default" w:ascii="宋体" w:hAnsi="宋体"/>
                <w:color w:val="auto"/>
              </w:rPr>
            </w:pPr>
            <w:r>
              <w:rPr>
                <w:rFonts w:hint="eastAsia" w:ascii="宋体" w:hAnsi="宋体"/>
                <w:color w:val="auto"/>
              </w:rPr>
              <w:t>②</w:t>
            </w:r>
            <w:r>
              <w:rPr>
                <w:rFonts w:hint="default" w:ascii="宋体" w:hAnsi="宋体"/>
                <w:color w:val="auto"/>
              </w:rPr>
              <w:t>病人量：本项目设置床位</w:t>
            </w:r>
            <w:r>
              <w:rPr>
                <w:rFonts w:hint="eastAsia"/>
                <w:color w:val="auto"/>
              </w:rPr>
              <w:t>80</w:t>
            </w:r>
            <w:r>
              <w:rPr>
                <w:rFonts w:hint="default" w:ascii="宋体" w:hAnsi="宋体"/>
                <w:color w:val="auto"/>
              </w:rPr>
              <w:t>张，预计年接待住院病人约</w:t>
            </w:r>
            <w:r>
              <w:rPr>
                <w:rFonts w:hint="eastAsia"/>
                <w:color w:val="auto"/>
              </w:rPr>
              <w:t>5000</w:t>
            </w:r>
            <w:r>
              <w:rPr>
                <w:rFonts w:hint="default" w:ascii="宋体" w:hAnsi="宋体"/>
                <w:color w:val="auto"/>
              </w:rPr>
              <w:t>人；门诊病人接待量</w:t>
            </w:r>
            <w:r>
              <w:rPr>
                <w:rFonts w:hint="eastAsia" w:ascii="宋体" w:hAnsi="宋体"/>
                <w:color w:val="auto"/>
              </w:rPr>
              <w:t>预计约</w:t>
            </w:r>
            <w:r>
              <w:rPr>
                <w:rFonts w:hint="eastAsia"/>
                <w:color w:val="auto"/>
              </w:rPr>
              <w:t>20</w:t>
            </w:r>
            <w:r>
              <w:rPr>
                <w:rFonts w:hint="default" w:ascii="宋体" w:hAnsi="宋体"/>
                <w:color w:val="auto"/>
              </w:rPr>
              <w:t>人</w:t>
            </w:r>
            <w:r>
              <w:rPr>
                <w:rFonts w:hint="default"/>
                <w:color w:val="auto"/>
              </w:rPr>
              <w:t>/d</w:t>
            </w:r>
            <w:r>
              <w:rPr>
                <w:rFonts w:hint="default" w:ascii="宋体" w:hAnsi="宋体"/>
                <w:color w:val="auto"/>
              </w:rPr>
              <w:t>（</w:t>
            </w:r>
            <w:r>
              <w:rPr>
                <w:rFonts w:hint="default"/>
                <w:color w:val="auto"/>
              </w:rPr>
              <w:t>1</w:t>
            </w:r>
            <w:r>
              <w:rPr>
                <w:rFonts w:hint="eastAsia"/>
                <w:color w:val="auto"/>
              </w:rPr>
              <w:t>000</w:t>
            </w:r>
            <w:r>
              <w:rPr>
                <w:rFonts w:hint="default"/>
                <w:color w:val="auto"/>
              </w:rPr>
              <w:t>0</w:t>
            </w:r>
            <w:r>
              <w:rPr>
                <w:rFonts w:hint="default" w:ascii="宋体" w:hAnsi="宋体"/>
                <w:color w:val="auto"/>
              </w:rPr>
              <w:t>人</w:t>
            </w:r>
            <w:r>
              <w:rPr>
                <w:rFonts w:hint="default"/>
                <w:color w:val="auto"/>
              </w:rPr>
              <w:t>/a</w:t>
            </w:r>
            <w:r>
              <w:rPr>
                <w:rFonts w:hint="default" w:ascii="宋体" w:hAnsi="宋体"/>
                <w:color w:val="auto"/>
              </w:rPr>
              <w:t>）。</w:t>
            </w:r>
          </w:p>
          <w:p w14:paraId="1BCA7307">
            <w:pPr>
              <w:pStyle w:val="2"/>
              <w:keepNext w:val="0"/>
              <w:keepLines w:val="0"/>
              <w:suppressLineNumbers w:val="0"/>
              <w:spacing w:before="0" w:beforeAutospacing="0" w:after="0" w:afterAutospacing="0" w:line="400" w:lineRule="exact"/>
              <w:ind w:left="0" w:leftChars="0" w:right="0" w:firstLine="420" w:firstLineChars="200"/>
              <w:rPr>
                <w:rFonts w:hint="default"/>
                <w:color w:val="auto"/>
              </w:rPr>
            </w:pPr>
            <w:r>
              <w:rPr>
                <w:rFonts w:hint="eastAsia" w:ascii="宋体" w:hAnsi="宋体"/>
                <w:color w:val="auto"/>
              </w:rPr>
              <w:t>血透中心设血透</w:t>
            </w:r>
            <w:r>
              <w:rPr>
                <w:rFonts w:hint="eastAsia" w:ascii="宋体" w:hAnsi="宋体"/>
                <w:color w:val="auto"/>
                <w:lang w:val="en-US" w:eastAsia="zh-CN"/>
              </w:rPr>
              <w:t>仪</w:t>
            </w:r>
            <w:r>
              <w:rPr>
                <w:rFonts w:hint="eastAsia" w:ascii="宋体" w:hAnsi="宋体"/>
                <w:color w:val="auto"/>
              </w:rPr>
              <w:t>28</w:t>
            </w:r>
            <w:r>
              <w:rPr>
                <w:rFonts w:hint="eastAsia" w:ascii="宋体" w:hAnsi="宋体"/>
                <w:color w:val="auto"/>
                <w:lang w:val="en-US" w:eastAsia="zh-CN"/>
              </w:rPr>
              <w:t>台</w:t>
            </w:r>
            <w:r>
              <w:rPr>
                <w:rFonts w:hint="eastAsia" w:ascii="宋体" w:hAnsi="宋体"/>
                <w:color w:val="auto"/>
              </w:rPr>
              <w:t>，阴性区23</w:t>
            </w:r>
            <w:r>
              <w:rPr>
                <w:rFonts w:hint="eastAsia" w:ascii="宋体" w:hAnsi="宋体"/>
                <w:color w:val="auto"/>
                <w:lang w:val="en-US" w:eastAsia="zh-CN"/>
              </w:rPr>
              <w:t>台</w:t>
            </w:r>
            <w:r>
              <w:rPr>
                <w:rFonts w:hint="eastAsia" w:ascii="宋体" w:hAnsi="宋体"/>
                <w:color w:val="auto"/>
              </w:rPr>
              <w:t>、阳性区5</w:t>
            </w:r>
            <w:r>
              <w:rPr>
                <w:rFonts w:hint="eastAsia" w:ascii="宋体" w:hAnsi="宋体"/>
                <w:color w:val="auto"/>
                <w:lang w:val="en-US" w:eastAsia="zh-CN"/>
              </w:rPr>
              <w:t>台</w:t>
            </w:r>
            <w:r>
              <w:rPr>
                <w:rFonts w:hint="eastAsia" w:ascii="宋体" w:hAnsi="宋体"/>
                <w:color w:val="auto"/>
              </w:rPr>
              <w:t>。预计年接纳6000</w:t>
            </w:r>
            <w:r>
              <w:rPr>
                <w:rFonts w:hint="default" w:ascii="宋体" w:hAnsi="宋体"/>
                <w:color w:val="auto"/>
              </w:rPr>
              <w:t>人</w:t>
            </w:r>
            <w:r>
              <w:rPr>
                <w:rFonts w:hint="eastAsia" w:ascii="宋体" w:hAnsi="宋体"/>
                <w:color w:val="auto"/>
              </w:rPr>
              <w:t>次。项目主要以急慢性肾衰、尿毒症等肾病患者进行的血液透析为主，接诊室主要针对前来就诊的部分肾病患者进行必要的血液透析前资料检查(主要是对首次患者进行相关检查，建档，确定透析处方等)。项目透析室设置非传染病透析患者治疗的阴性透析区和阳性透析区，阳性透析区仅收治乙肝患者（纳入传染病的乙类管理，经血液和体液传播）。若接诊时发现具有传染性梅毒或艾滋病患者以及开放性肺结核、其他根据传染病法需要隔离的严重呼吸道传染病，建议其在传染病医院或卫生行政部门指定的医疗机构进行血液透析，并及时上报、转诊处理。在转诊过程中严格执行防护措施，对病人有可能污染的物品按要求进行消毒处理。</w:t>
            </w:r>
          </w:p>
          <w:p w14:paraId="37E6B42B">
            <w:pPr>
              <w:pStyle w:val="2"/>
              <w:keepNext w:val="0"/>
              <w:keepLines w:val="0"/>
              <w:suppressLineNumbers w:val="0"/>
              <w:spacing w:before="0" w:beforeAutospacing="0" w:after="0" w:afterAutospacing="0" w:line="400" w:lineRule="exact"/>
              <w:ind w:left="0" w:leftChars="0" w:right="0" w:firstLine="420" w:firstLineChars="200"/>
              <w:rPr>
                <w:rFonts w:hint="default"/>
                <w:color w:val="auto"/>
              </w:rPr>
            </w:pPr>
            <w:r>
              <w:rPr>
                <w:rFonts w:hint="eastAsia" w:ascii="宋体" w:hAnsi="宋体"/>
                <w:color w:val="auto"/>
              </w:rPr>
              <w:t>③</w:t>
            </w:r>
            <w:r>
              <w:rPr>
                <w:rFonts w:hint="default" w:ascii="宋体" w:hAnsi="宋体"/>
                <w:color w:val="auto"/>
              </w:rPr>
              <w:t>建设内容：本项目</w:t>
            </w:r>
            <w:r>
              <w:rPr>
                <w:rFonts w:hint="eastAsia" w:ascii="宋体" w:hAnsi="宋体"/>
                <w:color w:val="auto"/>
              </w:rPr>
              <w:t>租用已建的医疗服务用房，</w:t>
            </w:r>
            <w:r>
              <w:rPr>
                <w:rFonts w:hint="default" w:ascii="宋体" w:hAnsi="宋体"/>
                <w:color w:val="auto"/>
              </w:rPr>
              <w:t>主要为</w:t>
            </w:r>
            <w:r>
              <w:rPr>
                <w:rFonts w:hint="eastAsia" w:ascii="宋体" w:hAnsi="宋体"/>
                <w:color w:val="auto"/>
              </w:rPr>
              <w:t>室内装修</w:t>
            </w:r>
            <w:r>
              <w:rPr>
                <w:rFonts w:hint="default" w:ascii="宋体" w:hAnsi="宋体"/>
                <w:color w:val="auto"/>
              </w:rPr>
              <w:t>及设备安装</w:t>
            </w:r>
            <w:r>
              <w:rPr>
                <w:rFonts w:hint="eastAsia" w:ascii="宋体" w:hAnsi="宋体"/>
                <w:color w:val="auto"/>
              </w:rPr>
              <w:t>等</w:t>
            </w:r>
            <w:r>
              <w:rPr>
                <w:rFonts w:hint="default" w:ascii="宋体" w:hAnsi="宋体"/>
                <w:color w:val="auto"/>
              </w:rPr>
              <w:t>。</w:t>
            </w:r>
          </w:p>
          <w:p w14:paraId="1CE6A4FA">
            <w:pPr>
              <w:keepNext w:val="0"/>
              <w:keepLines w:val="0"/>
              <w:suppressLineNumbers w:val="0"/>
              <w:spacing w:before="0" w:beforeAutospacing="0" w:after="0" w:afterAutospacing="0" w:line="400" w:lineRule="exact"/>
              <w:ind w:left="0" w:right="0" w:firstLine="420" w:firstLineChars="200"/>
              <w:rPr>
                <w:rFonts w:hint="default"/>
                <w:color w:val="auto"/>
              </w:rPr>
            </w:pPr>
            <w:r>
              <w:rPr>
                <w:rFonts w:hint="eastAsia" w:ascii="宋体" w:hAnsi="宋体"/>
                <w:color w:val="auto"/>
              </w:rPr>
              <w:t>本项目不设传染科、不设牙科、</w:t>
            </w:r>
            <w:r>
              <w:rPr>
                <w:rFonts w:hint="eastAsia"/>
                <w:bCs/>
                <w:color w:val="auto"/>
                <w:szCs w:val="21"/>
              </w:rPr>
              <w:t>不设手术室</w:t>
            </w:r>
            <w:r>
              <w:rPr>
                <w:rFonts w:hint="eastAsia" w:ascii="宋体" w:hAnsi="宋体"/>
                <w:color w:val="auto"/>
              </w:rPr>
              <w:t>等</w:t>
            </w:r>
            <w:r>
              <w:rPr>
                <w:rFonts w:hint="eastAsia"/>
                <w:bCs/>
                <w:color w:val="auto"/>
                <w:szCs w:val="21"/>
                <w:lang w:val="zh-CN"/>
              </w:rPr>
              <w:t>，不涉及核医学科。</w:t>
            </w:r>
            <w:r>
              <w:rPr>
                <w:rFonts w:hint="eastAsia" w:ascii="宋体" w:hAnsi="宋体"/>
                <w:color w:val="auto"/>
              </w:rPr>
              <w:t>项目区内不设锅炉，采用电热水器供应热水；不设洗衣房，被服委托专业机构清洗。</w:t>
            </w:r>
            <w:r>
              <w:rPr>
                <w:rFonts w:hint="default" w:ascii="宋体" w:hAnsi="宋体"/>
                <w:b/>
                <w:color w:val="auto"/>
              </w:rPr>
              <w:t>本项目辐射装置主要有医用</w:t>
            </w:r>
            <w:r>
              <w:rPr>
                <w:rFonts w:hint="eastAsia"/>
                <w:b/>
                <w:color w:val="auto"/>
              </w:rPr>
              <w:t>DR</w:t>
            </w:r>
            <w:r>
              <w:rPr>
                <w:rFonts w:hint="eastAsia" w:ascii="宋体" w:hAnsi="宋体"/>
                <w:b/>
                <w:color w:val="auto"/>
              </w:rPr>
              <w:t>、</w:t>
            </w:r>
            <w:r>
              <w:rPr>
                <w:rFonts w:hint="eastAsia"/>
                <w:b/>
                <w:color w:val="auto"/>
              </w:rPr>
              <w:t>CT</w:t>
            </w:r>
            <w:r>
              <w:rPr>
                <w:rFonts w:hint="eastAsia" w:ascii="宋体" w:hAnsi="宋体"/>
                <w:b/>
                <w:color w:val="auto"/>
              </w:rPr>
              <w:t>室</w:t>
            </w:r>
            <w:r>
              <w:rPr>
                <w:rFonts w:hint="default" w:ascii="宋体" w:hAnsi="宋体"/>
                <w:b/>
                <w:color w:val="auto"/>
              </w:rPr>
              <w:t>等，需委托有资质的专业单位进行辐射防护专项评价，并通过审批后开展相关的工作。</w:t>
            </w:r>
            <w:r>
              <w:rPr>
                <w:rFonts w:hint="eastAsia" w:ascii="宋体" w:hAnsi="宋体"/>
                <w:b/>
                <w:color w:val="auto"/>
              </w:rPr>
              <w:t>本项目</w:t>
            </w:r>
            <w:r>
              <w:rPr>
                <w:rFonts w:hint="default" w:ascii="宋体" w:hAnsi="宋体"/>
                <w:b/>
                <w:color w:val="auto"/>
              </w:rPr>
              <w:t>本次环评对此不作评价。</w:t>
            </w:r>
          </w:p>
          <w:p w14:paraId="23D65F10">
            <w:pPr>
              <w:pStyle w:val="2"/>
              <w:keepNext w:val="0"/>
              <w:keepLines w:val="0"/>
              <w:suppressLineNumbers w:val="0"/>
              <w:spacing w:before="0" w:beforeAutospacing="0" w:after="0" w:afterAutospacing="0" w:line="380" w:lineRule="exact"/>
              <w:ind w:left="0" w:leftChars="0" w:right="0" w:firstLine="420" w:firstLineChars="200"/>
              <w:rPr>
                <w:rFonts w:hint="default"/>
                <w:color w:val="auto"/>
                <w:szCs w:val="21"/>
              </w:rPr>
            </w:pPr>
            <w:r>
              <w:rPr>
                <w:rFonts w:hint="default"/>
                <w:color w:val="auto"/>
                <w:szCs w:val="21"/>
                <w:lang w:val="zh-CN"/>
              </w:rPr>
              <w:t>项目组成及可能产生的环境问题见</w:t>
            </w:r>
            <w:r>
              <w:rPr>
                <w:rFonts w:hint="default"/>
                <w:color w:val="auto"/>
                <w:szCs w:val="21"/>
              </w:rPr>
              <w:t>下</w:t>
            </w:r>
            <w:r>
              <w:rPr>
                <w:rFonts w:hint="default"/>
                <w:color w:val="auto"/>
                <w:szCs w:val="21"/>
                <w:lang w:val="zh-CN"/>
              </w:rPr>
              <w:t>表。</w:t>
            </w:r>
          </w:p>
          <w:p w14:paraId="1AF9869C">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 xml:space="preserve">2-2    </w:t>
            </w:r>
            <w:r>
              <w:rPr>
                <w:rFonts w:hint="default" w:eastAsia="黑体"/>
                <w:color w:val="auto"/>
                <w:sz w:val="18"/>
                <w:szCs w:val="18"/>
              </w:rPr>
              <w:t>项目组成及可能产生的主要环境问题</w:t>
            </w:r>
          </w:p>
          <w:tbl>
            <w:tblPr>
              <w:tblStyle w:val="13"/>
              <w:tblW w:w="78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86"/>
              <w:gridCol w:w="543"/>
              <w:gridCol w:w="4046"/>
              <w:gridCol w:w="765"/>
              <w:gridCol w:w="1309"/>
              <w:gridCol w:w="575"/>
            </w:tblGrid>
            <w:tr w14:paraId="6840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6" w:hRule="atLeast"/>
                <w:jc w:val="center"/>
              </w:trPr>
              <w:tc>
                <w:tcPr>
                  <w:tcW w:w="586" w:type="dxa"/>
                  <w:vMerge w:val="restart"/>
                  <w:vAlign w:val="center"/>
                </w:tcPr>
                <w:p w14:paraId="0A8A8147">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名称</w:t>
                  </w:r>
                </w:p>
              </w:tc>
              <w:tc>
                <w:tcPr>
                  <w:tcW w:w="4589" w:type="dxa"/>
                  <w:gridSpan w:val="2"/>
                  <w:vMerge w:val="restart"/>
                  <w:vAlign w:val="center"/>
                </w:tcPr>
                <w:p w14:paraId="196288C1">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建设内容及规模</w:t>
                  </w:r>
                </w:p>
              </w:tc>
              <w:tc>
                <w:tcPr>
                  <w:tcW w:w="2074" w:type="dxa"/>
                  <w:gridSpan w:val="2"/>
                  <w:vAlign w:val="center"/>
                </w:tcPr>
                <w:p w14:paraId="332401D4">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可能产生的环境问题</w:t>
                  </w:r>
                </w:p>
              </w:tc>
              <w:tc>
                <w:tcPr>
                  <w:tcW w:w="575" w:type="dxa"/>
                  <w:vMerge w:val="restart"/>
                  <w:vAlign w:val="center"/>
                </w:tcPr>
                <w:p w14:paraId="2D41F3B4">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eastAsia"/>
                      <w:b/>
                      <w:bCs/>
                      <w:color w:val="auto"/>
                      <w:sz w:val="18"/>
                      <w:szCs w:val="18"/>
                    </w:rPr>
                    <w:t>备注</w:t>
                  </w:r>
                </w:p>
              </w:tc>
            </w:tr>
            <w:tr w14:paraId="272E3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26" w:hRule="atLeast"/>
                <w:jc w:val="center"/>
              </w:trPr>
              <w:tc>
                <w:tcPr>
                  <w:tcW w:w="586" w:type="dxa"/>
                  <w:vMerge w:val="continue"/>
                  <w:vAlign w:val="center"/>
                </w:tcPr>
                <w:p w14:paraId="21384DA6">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Merge w:val="continue"/>
                  <w:vAlign w:val="center"/>
                </w:tcPr>
                <w:p w14:paraId="67DD676D">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765" w:type="dxa"/>
                  <w:vAlign w:val="center"/>
                </w:tcPr>
                <w:p w14:paraId="192D0DD3">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施工期</w:t>
                  </w:r>
                </w:p>
              </w:tc>
              <w:tc>
                <w:tcPr>
                  <w:tcW w:w="1309" w:type="dxa"/>
                  <w:vAlign w:val="center"/>
                </w:tcPr>
                <w:p w14:paraId="0AE0866B">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营运期</w:t>
                  </w:r>
                </w:p>
              </w:tc>
              <w:tc>
                <w:tcPr>
                  <w:tcW w:w="575" w:type="dxa"/>
                  <w:vMerge w:val="continue"/>
                  <w:vAlign w:val="center"/>
                </w:tcPr>
                <w:p w14:paraId="3B224EDE">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r>
            <w:tr w14:paraId="73AC7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 w:hRule="atLeast"/>
                <w:jc w:val="center"/>
              </w:trPr>
              <w:tc>
                <w:tcPr>
                  <w:tcW w:w="586" w:type="dxa"/>
                  <w:vMerge w:val="restart"/>
                  <w:vAlign w:val="center"/>
                </w:tcPr>
                <w:p w14:paraId="6E644EF0">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主体</w:t>
                  </w:r>
                </w:p>
                <w:p w14:paraId="46C0486B">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工程</w:t>
                  </w:r>
                </w:p>
              </w:tc>
              <w:tc>
                <w:tcPr>
                  <w:tcW w:w="4589" w:type="dxa"/>
                  <w:gridSpan w:val="2"/>
                  <w:vAlign w:val="center"/>
                </w:tcPr>
                <w:p w14:paraId="0BA1545F">
                  <w:pPr>
                    <w:keepNext w:val="0"/>
                    <w:keepLines w:val="0"/>
                    <w:suppressLineNumbers w:val="0"/>
                    <w:spacing w:before="0" w:beforeAutospacing="0" w:after="0" w:afterAutospacing="0" w:line="300" w:lineRule="exact"/>
                    <w:ind w:left="0" w:right="0"/>
                    <w:rPr>
                      <w:rFonts w:hint="default"/>
                      <w:color w:val="auto"/>
                      <w:sz w:val="18"/>
                      <w:szCs w:val="18"/>
                    </w:rPr>
                  </w:pPr>
                  <w:r>
                    <w:rPr>
                      <w:rFonts w:hint="eastAsia"/>
                      <w:color w:val="auto"/>
                      <w:sz w:val="18"/>
                      <w:szCs w:val="18"/>
                    </w:rPr>
                    <w:t>1F，建筑面积750m</w:t>
                  </w:r>
                  <w:r>
                    <w:rPr>
                      <w:rFonts w:hint="eastAsia"/>
                      <w:color w:val="auto"/>
                      <w:sz w:val="18"/>
                      <w:szCs w:val="18"/>
                      <w:vertAlign w:val="superscript"/>
                    </w:rPr>
                    <w:t>2</w:t>
                  </w:r>
                  <w:r>
                    <w:rPr>
                      <w:rFonts w:hint="eastAsia"/>
                      <w:color w:val="auto"/>
                      <w:sz w:val="18"/>
                      <w:szCs w:val="18"/>
                    </w:rPr>
                    <w:t>，设接待大厅、急诊科、内科诊室、中医针灸推拿科、医保办公室、挂号收费室、药房、库房、药品库、外科诊室、医生办公室、</w:t>
                  </w:r>
                  <w:r>
                    <w:rPr>
                      <w:rFonts w:hint="eastAsia"/>
                      <w:color w:val="auto"/>
                      <w:sz w:val="18"/>
                      <w:szCs w:val="18"/>
                      <w:lang w:val="en-US" w:eastAsia="zh-CN"/>
                    </w:rPr>
                    <w:t>养老评估室、</w:t>
                  </w:r>
                  <w:r>
                    <w:rPr>
                      <w:rFonts w:hint="eastAsia"/>
                      <w:color w:val="auto"/>
                      <w:sz w:val="18"/>
                      <w:szCs w:val="18"/>
                    </w:rPr>
                    <w:t>煎药室、中医康复科、检验科、储氧室、心电图室、彩超室、医废间等</w:t>
                  </w:r>
                </w:p>
              </w:tc>
              <w:tc>
                <w:tcPr>
                  <w:tcW w:w="765" w:type="dxa"/>
                  <w:vMerge w:val="restart"/>
                  <w:vAlign w:val="center"/>
                </w:tcPr>
                <w:p w14:paraId="4A3F6593">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施工废气、废水、噪声、固体废物</w:t>
                  </w:r>
                </w:p>
              </w:tc>
              <w:tc>
                <w:tcPr>
                  <w:tcW w:w="1309" w:type="dxa"/>
                  <w:vMerge w:val="restart"/>
                  <w:vAlign w:val="center"/>
                </w:tcPr>
                <w:p w14:paraId="3AAB515C">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废气，废水、医疗废物、噪声等</w:t>
                  </w:r>
                </w:p>
              </w:tc>
              <w:tc>
                <w:tcPr>
                  <w:tcW w:w="575" w:type="dxa"/>
                  <w:vMerge w:val="restart"/>
                  <w:vAlign w:val="center"/>
                </w:tcPr>
                <w:p w14:paraId="04C08164">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已建</w:t>
                  </w:r>
                </w:p>
              </w:tc>
            </w:tr>
            <w:tr w14:paraId="7E526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2" w:hRule="atLeast"/>
                <w:jc w:val="center"/>
              </w:trPr>
              <w:tc>
                <w:tcPr>
                  <w:tcW w:w="586" w:type="dxa"/>
                  <w:vMerge w:val="continue"/>
                  <w:vAlign w:val="center"/>
                </w:tcPr>
                <w:p w14:paraId="3C94A6B0">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14:paraId="0956C420">
                  <w:pPr>
                    <w:keepNext w:val="0"/>
                    <w:keepLines w:val="0"/>
                    <w:suppressLineNumbers w:val="0"/>
                    <w:spacing w:before="0" w:beforeAutospacing="0" w:after="0" w:afterAutospacing="0" w:line="300" w:lineRule="exact"/>
                    <w:ind w:left="0" w:right="0"/>
                    <w:rPr>
                      <w:rFonts w:hint="default"/>
                      <w:color w:val="auto"/>
                      <w:sz w:val="18"/>
                      <w:szCs w:val="18"/>
                    </w:rPr>
                  </w:pPr>
                  <w:r>
                    <w:rPr>
                      <w:rFonts w:hint="eastAsia"/>
                      <w:color w:val="auto"/>
                      <w:sz w:val="18"/>
                      <w:szCs w:val="18"/>
                    </w:rPr>
                    <w:t>2F，建筑面积750m</w:t>
                  </w:r>
                  <w:r>
                    <w:rPr>
                      <w:rFonts w:hint="eastAsia"/>
                      <w:color w:val="auto"/>
                      <w:sz w:val="18"/>
                      <w:szCs w:val="18"/>
                      <w:vertAlign w:val="superscript"/>
                    </w:rPr>
                    <w:t>2</w:t>
                  </w:r>
                  <w:r>
                    <w:rPr>
                      <w:rFonts w:hint="eastAsia"/>
                      <w:color w:val="auto"/>
                      <w:sz w:val="18"/>
                      <w:szCs w:val="18"/>
                    </w:rPr>
                    <w:t>，设内科和中医老年科病房、多功能室、储藏室</w:t>
                  </w:r>
                </w:p>
              </w:tc>
              <w:tc>
                <w:tcPr>
                  <w:tcW w:w="765" w:type="dxa"/>
                  <w:vMerge w:val="continue"/>
                  <w:vAlign w:val="center"/>
                </w:tcPr>
                <w:p w14:paraId="67921C5A">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Merge w:val="continue"/>
                  <w:vAlign w:val="center"/>
                </w:tcPr>
                <w:p w14:paraId="48E899A9">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75" w:type="dxa"/>
                  <w:vMerge w:val="continue"/>
                  <w:vAlign w:val="center"/>
                </w:tcPr>
                <w:p w14:paraId="3009869F">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14:paraId="45837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 w:hRule="atLeast"/>
                <w:jc w:val="center"/>
              </w:trPr>
              <w:tc>
                <w:tcPr>
                  <w:tcW w:w="586" w:type="dxa"/>
                  <w:vMerge w:val="continue"/>
                  <w:vAlign w:val="center"/>
                </w:tcPr>
                <w:p w14:paraId="729DBD31">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14:paraId="61178330">
                  <w:pPr>
                    <w:keepNext w:val="0"/>
                    <w:keepLines w:val="0"/>
                    <w:suppressLineNumbers w:val="0"/>
                    <w:spacing w:before="0" w:beforeAutospacing="0" w:after="0" w:afterAutospacing="0" w:line="300" w:lineRule="exact"/>
                    <w:ind w:left="0" w:right="0"/>
                    <w:rPr>
                      <w:rFonts w:hint="default"/>
                      <w:color w:val="auto"/>
                      <w:sz w:val="18"/>
                      <w:szCs w:val="18"/>
                    </w:rPr>
                  </w:pPr>
                  <w:r>
                    <w:rPr>
                      <w:rFonts w:hint="eastAsia"/>
                      <w:color w:val="auto"/>
                      <w:sz w:val="18"/>
                      <w:szCs w:val="18"/>
                    </w:rPr>
                    <w:t>3F，建筑面积750m</w:t>
                  </w:r>
                  <w:r>
                    <w:rPr>
                      <w:rFonts w:hint="eastAsia"/>
                      <w:color w:val="auto"/>
                      <w:sz w:val="18"/>
                      <w:szCs w:val="18"/>
                      <w:vertAlign w:val="superscript"/>
                    </w:rPr>
                    <w:t>2</w:t>
                  </w:r>
                  <w:r>
                    <w:rPr>
                      <w:rFonts w:hint="eastAsia"/>
                      <w:color w:val="auto"/>
                      <w:sz w:val="18"/>
                      <w:szCs w:val="18"/>
                    </w:rPr>
                    <w:t>，设</w:t>
                  </w:r>
                  <w:r>
                    <w:rPr>
                      <w:rFonts w:hint="eastAsia"/>
                      <w:bCs/>
                      <w:color w:val="auto"/>
                      <w:sz w:val="18"/>
                      <w:szCs w:val="18"/>
                    </w:rPr>
                    <w:t>病房（中医针灸科、中医推拿科、中医康复科）、治疗室、医生办公室、护士值班室和护士站</w:t>
                  </w:r>
                </w:p>
              </w:tc>
              <w:tc>
                <w:tcPr>
                  <w:tcW w:w="765" w:type="dxa"/>
                  <w:vMerge w:val="continue"/>
                  <w:vAlign w:val="center"/>
                </w:tcPr>
                <w:p w14:paraId="52FE4F83">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Merge w:val="continue"/>
                  <w:vAlign w:val="center"/>
                </w:tcPr>
                <w:p w14:paraId="564FAA42">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75" w:type="dxa"/>
                  <w:vMerge w:val="continue"/>
                  <w:vAlign w:val="center"/>
                </w:tcPr>
                <w:p w14:paraId="52F9C2BA">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14:paraId="49A6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 w:hRule="atLeast"/>
                <w:jc w:val="center"/>
              </w:trPr>
              <w:tc>
                <w:tcPr>
                  <w:tcW w:w="586" w:type="dxa"/>
                  <w:vMerge w:val="continue"/>
                  <w:vAlign w:val="center"/>
                </w:tcPr>
                <w:p w14:paraId="03F7AAF1">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14:paraId="11D19C52">
                  <w:pPr>
                    <w:keepNext w:val="0"/>
                    <w:keepLines w:val="0"/>
                    <w:suppressLineNumbers w:val="0"/>
                    <w:spacing w:before="0" w:beforeAutospacing="0" w:after="0" w:afterAutospacing="0" w:line="300" w:lineRule="exact"/>
                    <w:ind w:left="0" w:right="0"/>
                    <w:rPr>
                      <w:rFonts w:hint="default"/>
                      <w:color w:val="auto"/>
                      <w:sz w:val="18"/>
                      <w:szCs w:val="18"/>
                    </w:rPr>
                  </w:pPr>
                  <w:r>
                    <w:rPr>
                      <w:rFonts w:hint="eastAsia"/>
                      <w:color w:val="auto"/>
                      <w:sz w:val="18"/>
                      <w:szCs w:val="18"/>
                    </w:rPr>
                    <w:t>4F，建筑面积750m</w:t>
                  </w:r>
                  <w:r>
                    <w:rPr>
                      <w:rFonts w:hint="eastAsia"/>
                      <w:color w:val="auto"/>
                      <w:sz w:val="18"/>
                      <w:szCs w:val="18"/>
                      <w:vertAlign w:val="superscript"/>
                    </w:rPr>
                    <w:t>2</w:t>
                  </w:r>
                  <w:r>
                    <w:rPr>
                      <w:rFonts w:hint="eastAsia"/>
                      <w:color w:val="auto"/>
                      <w:sz w:val="18"/>
                      <w:szCs w:val="18"/>
                    </w:rPr>
                    <w:t>，设血液透析中心，包括阴性病区、阳性病区、血透水制备室、干库房、湿库房、污物区等</w:t>
                  </w:r>
                </w:p>
              </w:tc>
              <w:tc>
                <w:tcPr>
                  <w:tcW w:w="765" w:type="dxa"/>
                  <w:vMerge w:val="continue"/>
                  <w:vAlign w:val="center"/>
                </w:tcPr>
                <w:p w14:paraId="04A17BAD">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Merge w:val="continue"/>
                  <w:vAlign w:val="center"/>
                </w:tcPr>
                <w:p w14:paraId="662D3566">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75" w:type="dxa"/>
                  <w:vMerge w:val="continue"/>
                  <w:vAlign w:val="center"/>
                </w:tcPr>
                <w:p w14:paraId="4177FA4C">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14:paraId="5B462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 w:hRule="atLeast"/>
                <w:jc w:val="center"/>
              </w:trPr>
              <w:tc>
                <w:tcPr>
                  <w:tcW w:w="586" w:type="dxa"/>
                  <w:vMerge w:val="continue"/>
                  <w:vAlign w:val="center"/>
                </w:tcPr>
                <w:p w14:paraId="50F7E105">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14:paraId="36FB89FD">
                  <w:pPr>
                    <w:keepNext w:val="0"/>
                    <w:keepLines w:val="0"/>
                    <w:suppressLineNumbers w:val="0"/>
                    <w:spacing w:before="0" w:beforeAutospacing="0" w:after="0" w:afterAutospacing="0" w:line="300" w:lineRule="exact"/>
                    <w:ind w:left="0" w:right="0"/>
                    <w:rPr>
                      <w:rFonts w:hint="default"/>
                      <w:color w:val="auto"/>
                      <w:spacing w:val="-4"/>
                      <w:sz w:val="18"/>
                      <w:szCs w:val="18"/>
                    </w:rPr>
                  </w:pPr>
                  <w:r>
                    <w:rPr>
                      <w:rFonts w:hint="eastAsia"/>
                      <w:color w:val="auto"/>
                      <w:sz w:val="18"/>
                      <w:szCs w:val="18"/>
                    </w:rPr>
                    <w:t>1栋平房，建筑面积100m</w:t>
                  </w:r>
                  <w:r>
                    <w:rPr>
                      <w:rFonts w:hint="eastAsia"/>
                      <w:color w:val="auto"/>
                      <w:sz w:val="18"/>
                      <w:szCs w:val="18"/>
                      <w:vertAlign w:val="superscript"/>
                    </w:rPr>
                    <w:t>2</w:t>
                  </w:r>
                  <w:r>
                    <w:rPr>
                      <w:rFonts w:hint="eastAsia"/>
                      <w:color w:val="auto"/>
                      <w:sz w:val="18"/>
                      <w:szCs w:val="18"/>
                    </w:rPr>
                    <w:t>，</w:t>
                  </w:r>
                  <w:r>
                    <w:rPr>
                      <w:rFonts w:hint="eastAsia"/>
                      <w:color w:val="auto"/>
                      <w:spacing w:val="-4"/>
                      <w:sz w:val="18"/>
                      <w:szCs w:val="18"/>
                    </w:rPr>
                    <w:t>设</w:t>
                  </w:r>
                  <w:r>
                    <w:rPr>
                      <w:rFonts w:hint="eastAsia"/>
                      <w:color w:val="auto"/>
                      <w:sz w:val="18"/>
                      <w:szCs w:val="18"/>
                    </w:rPr>
                    <w:t>CT、CR、污水处理站</w:t>
                  </w:r>
                </w:p>
              </w:tc>
              <w:tc>
                <w:tcPr>
                  <w:tcW w:w="765" w:type="dxa"/>
                  <w:vMerge w:val="continue"/>
                  <w:vAlign w:val="center"/>
                </w:tcPr>
                <w:p w14:paraId="55DF57B3">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Merge w:val="continue"/>
                  <w:vAlign w:val="center"/>
                </w:tcPr>
                <w:p w14:paraId="648DDB3E">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75" w:type="dxa"/>
                  <w:vMerge w:val="continue"/>
                  <w:vAlign w:val="center"/>
                </w:tcPr>
                <w:p w14:paraId="1C3ED219">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14:paraId="41D9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 w:hRule="atLeast"/>
                <w:jc w:val="center"/>
              </w:trPr>
              <w:tc>
                <w:tcPr>
                  <w:tcW w:w="586" w:type="dxa"/>
                  <w:vMerge w:val="restart"/>
                  <w:vAlign w:val="center"/>
                </w:tcPr>
                <w:p w14:paraId="21F69016">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辅助</w:t>
                  </w:r>
                </w:p>
                <w:p w14:paraId="740739EF">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工程</w:t>
                  </w:r>
                </w:p>
              </w:tc>
              <w:tc>
                <w:tcPr>
                  <w:tcW w:w="4589" w:type="dxa"/>
                  <w:gridSpan w:val="2"/>
                  <w:vAlign w:val="center"/>
                </w:tcPr>
                <w:p w14:paraId="042FA3F9">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空调系统：设</w:t>
                  </w:r>
                  <w:r>
                    <w:rPr>
                      <w:rFonts w:hint="eastAsia"/>
                      <w:color w:val="auto"/>
                      <w:sz w:val="18"/>
                      <w:szCs w:val="18"/>
                    </w:rPr>
                    <w:t>空气能</w:t>
                  </w:r>
                  <w:r>
                    <w:rPr>
                      <w:rFonts w:hint="default"/>
                      <w:color w:val="auto"/>
                      <w:sz w:val="18"/>
                      <w:szCs w:val="18"/>
                    </w:rPr>
                    <w:t>中央空调，</w:t>
                  </w:r>
                  <w:r>
                    <w:rPr>
                      <w:rFonts w:hint="eastAsia"/>
                      <w:color w:val="auto"/>
                      <w:sz w:val="18"/>
                      <w:szCs w:val="18"/>
                    </w:rPr>
                    <w:t>位于医疗楼东侧</w:t>
                  </w:r>
                </w:p>
              </w:tc>
              <w:tc>
                <w:tcPr>
                  <w:tcW w:w="765" w:type="dxa"/>
                  <w:vMerge w:val="continue"/>
                  <w:vAlign w:val="center"/>
                </w:tcPr>
                <w:p w14:paraId="4630A552">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42AF9CAB">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w:t>
                  </w:r>
                </w:p>
              </w:tc>
              <w:tc>
                <w:tcPr>
                  <w:tcW w:w="575" w:type="dxa"/>
                  <w:vMerge w:val="restart"/>
                  <w:vAlign w:val="center"/>
                </w:tcPr>
                <w:p w14:paraId="434B7B96">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已建</w:t>
                  </w:r>
                </w:p>
              </w:tc>
            </w:tr>
            <w:tr w14:paraId="66929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 w:hRule="atLeast"/>
                <w:jc w:val="center"/>
              </w:trPr>
              <w:tc>
                <w:tcPr>
                  <w:tcW w:w="586" w:type="dxa"/>
                  <w:vMerge w:val="continue"/>
                  <w:vAlign w:val="center"/>
                </w:tcPr>
                <w:p w14:paraId="56EDE81E">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14:paraId="0B1F3AD3">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热水供应：采用电热水器提供所需热水</w:t>
                  </w:r>
                </w:p>
              </w:tc>
              <w:tc>
                <w:tcPr>
                  <w:tcW w:w="765" w:type="dxa"/>
                  <w:vMerge w:val="continue"/>
                  <w:vAlign w:val="center"/>
                </w:tcPr>
                <w:p w14:paraId="2A271B4E">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298F8014">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c>
                <w:tcPr>
                  <w:tcW w:w="575" w:type="dxa"/>
                  <w:vMerge w:val="continue"/>
                  <w:vAlign w:val="center"/>
                </w:tcPr>
                <w:p w14:paraId="0654E335">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14:paraId="7691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 w:hRule="atLeast"/>
                <w:jc w:val="center"/>
              </w:trPr>
              <w:tc>
                <w:tcPr>
                  <w:tcW w:w="586" w:type="dxa"/>
                  <w:vMerge w:val="continue"/>
                  <w:vAlign w:val="center"/>
                </w:tcPr>
                <w:p w14:paraId="33076ADE">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14:paraId="3D11A0B5">
                  <w:pPr>
                    <w:keepNext w:val="0"/>
                    <w:keepLines w:val="0"/>
                    <w:suppressLineNumbers w:val="0"/>
                    <w:spacing w:before="0" w:beforeAutospacing="0" w:after="0" w:afterAutospacing="0" w:line="300" w:lineRule="exact"/>
                    <w:ind w:left="0" w:right="0"/>
                    <w:rPr>
                      <w:rFonts w:hint="default" w:eastAsia="宋体"/>
                      <w:color w:val="auto"/>
                      <w:sz w:val="18"/>
                      <w:szCs w:val="18"/>
                      <w:lang w:val="en-US" w:eastAsia="zh-CN"/>
                    </w:rPr>
                  </w:pPr>
                  <w:r>
                    <w:rPr>
                      <w:rFonts w:hint="eastAsia"/>
                      <w:color w:val="auto"/>
                      <w:sz w:val="18"/>
                      <w:szCs w:val="18"/>
                      <w:lang w:val="en-US" w:eastAsia="zh-CN"/>
                    </w:rPr>
                    <w:t>纯水制备系统：设于医疗楼4楼，专供血透中心用，包括主机、水泵、多介质过滤、活性炭箱、树脂软化器、盐箱、精密过滤器等设备</w:t>
                  </w:r>
                </w:p>
              </w:tc>
              <w:tc>
                <w:tcPr>
                  <w:tcW w:w="765" w:type="dxa"/>
                  <w:vMerge w:val="continue"/>
                  <w:vAlign w:val="center"/>
                </w:tcPr>
                <w:p w14:paraId="4C87DBCB">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7E7DDF8F">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废水、固废</w:t>
                  </w:r>
                </w:p>
              </w:tc>
              <w:tc>
                <w:tcPr>
                  <w:tcW w:w="575" w:type="dxa"/>
                  <w:vMerge w:val="continue"/>
                  <w:vAlign w:val="center"/>
                </w:tcPr>
                <w:p w14:paraId="27DA72EE">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14:paraId="1AB2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 w:hRule="atLeast"/>
                <w:jc w:val="center"/>
              </w:trPr>
              <w:tc>
                <w:tcPr>
                  <w:tcW w:w="586" w:type="dxa"/>
                  <w:vMerge w:val="continue"/>
                  <w:vAlign w:val="center"/>
                </w:tcPr>
                <w:p w14:paraId="4FA73608">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14:paraId="733C53CB">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器械消毒：设1台电能高压蒸汽消毒锅</w:t>
                  </w:r>
                </w:p>
              </w:tc>
              <w:tc>
                <w:tcPr>
                  <w:tcW w:w="765" w:type="dxa"/>
                  <w:vMerge w:val="continue"/>
                  <w:vAlign w:val="center"/>
                </w:tcPr>
                <w:p w14:paraId="547FD245">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03E46989">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c>
                <w:tcPr>
                  <w:tcW w:w="575" w:type="dxa"/>
                  <w:vMerge w:val="continue"/>
                  <w:vAlign w:val="center"/>
                </w:tcPr>
                <w:p w14:paraId="5986B916">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14:paraId="3F28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 w:hRule="atLeast"/>
                <w:jc w:val="center"/>
              </w:trPr>
              <w:tc>
                <w:tcPr>
                  <w:tcW w:w="586" w:type="dxa"/>
                  <w:vMerge w:val="continue"/>
                  <w:vAlign w:val="center"/>
                </w:tcPr>
                <w:p w14:paraId="57E77E73">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14:paraId="758CAB79">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供氧：外购成品氧气罐，由储罐暂存，不涉及制氧</w:t>
                  </w:r>
                </w:p>
              </w:tc>
              <w:tc>
                <w:tcPr>
                  <w:tcW w:w="765" w:type="dxa"/>
                  <w:vMerge w:val="continue"/>
                  <w:vAlign w:val="center"/>
                </w:tcPr>
                <w:p w14:paraId="7C5B2FA0">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7F783A6B">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c>
                <w:tcPr>
                  <w:tcW w:w="575" w:type="dxa"/>
                  <w:vMerge w:val="continue"/>
                  <w:vAlign w:val="center"/>
                </w:tcPr>
                <w:p w14:paraId="1F0785BD">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14:paraId="580D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 w:hRule="atLeast"/>
                <w:jc w:val="center"/>
              </w:trPr>
              <w:tc>
                <w:tcPr>
                  <w:tcW w:w="586" w:type="dxa"/>
                  <w:vMerge w:val="continue"/>
                  <w:vAlign w:val="center"/>
                </w:tcPr>
                <w:p w14:paraId="32ECB65D">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14:paraId="0B144EE0">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备用</w:t>
                  </w:r>
                  <w:r>
                    <w:rPr>
                      <w:rFonts w:hint="eastAsia"/>
                      <w:color w:val="auto"/>
                      <w:sz w:val="18"/>
                      <w:szCs w:val="18"/>
                    </w:rPr>
                    <w:t>电源</w:t>
                  </w:r>
                  <w:r>
                    <w:rPr>
                      <w:rFonts w:hint="default"/>
                      <w:color w:val="auto"/>
                      <w:sz w:val="18"/>
                      <w:szCs w:val="18"/>
                    </w:rPr>
                    <w:t>：</w:t>
                  </w:r>
                  <w:r>
                    <w:rPr>
                      <w:rFonts w:hint="eastAsia"/>
                      <w:color w:val="auto"/>
                      <w:sz w:val="18"/>
                      <w:szCs w:val="18"/>
                    </w:rPr>
                    <w:t>依托德源医养中心备用发电机房供电</w:t>
                  </w:r>
                </w:p>
              </w:tc>
              <w:tc>
                <w:tcPr>
                  <w:tcW w:w="765" w:type="dxa"/>
                  <w:vMerge w:val="continue"/>
                  <w:vAlign w:val="center"/>
                </w:tcPr>
                <w:p w14:paraId="7BC045C0">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5486C792">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环境风险</w:t>
                  </w:r>
                </w:p>
              </w:tc>
              <w:tc>
                <w:tcPr>
                  <w:tcW w:w="575" w:type="dxa"/>
                  <w:vAlign w:val="center"/>
                </w:tcPr>
                <w:p w14:paraId="2C92058A">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依托</w:t>
                  </w:r>
                </w:p>
              </w:tc>
            </w:tr>
            <w:tr w14:paraId="1BD8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6" w:hRule="atLeast"/>
                <w:jc w:val="center"/>
              </w:trPr>
              <w:tc>
                <w:tcPr>
                  <w:tcW w:w="586" w:type="dxa"/>
                  <w:vMerge w:val="restart"/>
                  <w:vAlign w:val="center"/>
                </w:tcPr>
                <w:p w14:paraId="599520CD">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公用</w:t>
                  </w:r>
                </w:p>
                <w:p w14:paraId="20B150A0">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工程</w:t>
                  </w:r>
                </w:p>
              </w:tc>
              <w:tc>
                <w:tcPr>
                  <w:tcW w:w="4589" w:type="dxa"/>
                  <w:gridSpan w:val="2"/>
                  <w:vAlign w:val="center"/>
                </w:tcPr>
                <w:p w14:paraId="4CDE165B">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供电系统：包括照明、电力、综合布线系统等，供电依托市政电网</w:t>
                  </w:r>
                </w:p>
              </w:tc>
              <w:tc>
                <w:tcPr>
                  <w:tcW w:w="765" w:type="dxa"/>
                  <w:vMerge w:val="continue"/>
                  <w:vAlign w:val="center"/>
                </w:tcPr>
                <w:p w14:paraId="3B0964CE">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779CF15A">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噪声</w:t>
                  </w:r>
                </w:p>
              </w:tc>
              <w:tc>
                <w:tcPr>
                  <w:tcW w:w="575" w:type="dxa"/>
                  <w:vAlign w:val="center"/>
                </w:tcPr>
                <w:p w14:paraId="23105418">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已建</w:t>
                  </w:r>
                </w:p>
              </w:tc>
            </w:tr>
            <w:tr w14:paraId="7A51E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 w:hRule="atLeast"/>
                <w:jc w:val="center"/>
              </w:trPr>
              <w:tc>
                <w:tcPr>
                  <w:tcW w:w="586" w:type="dxa"/>
                  <w:vMerge w:val="continue"/>
                  <w:vAlign w:val="center"/>
                </w:tcPr>
                <w:p w14:paraId="4A05AAFA">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14:paraId="651D52E3">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供气：市政天燃气管网提供</w:t>
                  </w:r>
                </w:p>
              </w:tc>
              <w:tc>
                <w:tcPr>
                  <w:tcW w:w="765" w:type="dxa"/>
                  <w:vMerge w:val="continue"/>
                  <w:vAlign w:val="center"/>
                </w:tcPr>
                <w:p w14:paraId="46A2A669">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5437015B">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75" w:type="dxa"/>
                  <w:vAlign w:val="center"/>
                </w:tcPr>
                <w:p w14:paraId="069472DD">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已建</w:t>
                  </w:r>
                </w:p>
              </w:tc>
            </w:tr>
            <w:tr w14:paraId="2190D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6" w:hRule="atLeast"/>
                <w:jc w:val="center"/>
              </w:trPr>
              <w:tc>
                <w:tcPr>
                  <w:tcW w:w="586" w:type="dxa"/>
                  <w:vMerge w:val="continue"/>
                  <w:vAlign w:val="center"/>
                </w:tcPr>
                <w:p w14:paraId="0E37E63B">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14:paraId="227A1064">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供水系统：由附近市政给水管网接入</w:t>
                  </w:r>
                </w:p>
              </w:tc>
              <w:tc>
                <w:tcPr>
                  <w:tcW w:w="765" w:type="dxa"/>
                  <w:vMerge w:val="continue"/>
                  <w:vAlign w:val="center"/>
                </w:tcPr>
                <w:p w14:paraId="6FAA4BBA">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43BE498E">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c>
                <w:tcPr>
                  <w:tcW w:w="575" w:type="dxa"/>
                  <w:vAlign w:val="center"/>
                </w:tcPr>
                <w:p w14:paraId="07C11294">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已建</w:t>
                  </w:r>
                </w:p>
              </w:tc>
            </w:tr>
            <w:tr w14:paraId="17FFC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6" w:hRule="atLeast"/>
                <w:jc w:val="center"/>
              </w:trPr>
              <w:tc>
                <w:tcPr>
                  <w:tcW w:w="586" w:type="dxa"/>
                  <w:vMerge w:val="continue"/>
                  <w:vAlign w:val="center"/>
                </w:tcPr>
                <w:p w14:paraId="5B196C85">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4589" w:type="dxa"/>
                  <w:gridSpan w:val="2"/>
                  <w:vAlign w:val="center"/>
                </w:tcPr>
                <w:p w14:paraId="2299B6F2">
                  <w:pPr>
                    <w:keepNext w:val="0"/>
                    <w:keepLines w:val="0"/>
                    <w:suppressLineNumbers w:val="0"/>
                    <w:spacing w:before="0" w:beforeAutospacing="0" w:after="0" w:afterAutospacing="0" w:line="300" w:lineRule="exact"/>
                    <w:ind w:left="0" w:right="0"/>
                    <w:jc w:val="left"/>
                    <w:rPr>
                      <w:rFonts w:hint="default"/>
                      <w:color w:val="auto"/>
                      <w:sz w:val="18"/>
                      <w:szCs w:val="18"/>
                    </w:rPr>
                  </w:pPr>
                  <w:r>
                    <w:rPr>
                      <w:rFonts w:hint="default"/>
                      <w:color w:val="auto"/>
                      <w:sz w:val="18"/>
                      <w:szCs w:val="18"/>
                    </w:rPr>
                    <w:t>排水系统：实行雨污分流制，雨水排入</w:t>
                  </w:r>
                  <w:r>
                    <w:rPr>
                      <w:rFonts w:hint="eastAsia"/>
                      <w:color w:val="auto"/>
                      <w:sz w:val="18"/>
                      <w:szCs w:val="18"/>
                    </w:rPr>
                    <w:t>场镇雨水管网</w:t>
                  </w:r>
                  <w:r>
                    <w:rPr>
                      <w:rFonts w:hint="default"/>
                      <w:color w:val="auto"/>
                      <w:sz w:val="18"/>
                      <w:szCs w:val="18"/>
                    </w:rPr>
                    <w:t>；污水经管道单独收集后进入</w:t>
                  </w:r>
                  <w:r>
                    <w:rPr>
                      <w:rFonts w:hint="eastAsia"/>
                      <w:color w:val="auto"/>
                      <w:sz w:val="18"/>
                      <w:szCs w:val="18"/>
                    </w:rPr>
                    <w:t>污水处理设施处理后，达标排入市政污水管网</w:t>
                  </w:r>
                </w:p>
              </w:tc>
              <w:tc>
                <w:tcPr>
                  <w:tcW w:w="765" w:type="dxa"/>
                  <w:vMerge w:val="continue"/>
                  <w:vAlign w:val="center"/>
                </w:tcPr>
                <w:p w14:paraId="119EACDC">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1D5F1F17">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w:t>
                  </w:r>
                </w:p>
              </w:tc>
              <w:tc>
                <w:tcPr>
                  <w:tcW w:w="575" w:type="dxa"/>
                  <w:vAlign w:val="center"/>
                </w:tcPr>
                <w:p w14:paraId="318F0B63">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在建</w:t>
                  </w:r>
                </w:p>
              </w:tc>
            </w:tr>
            <w:tr w14:paraId="43034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5" w:hRule="atLeast"/>
                <w:jc w:val="center"/>
              </w:trPr>
              <w:tc>
                <w:tcPr>
                  <w:tcW w:w="586" w:type="dxa"/>
                  <w:vMerge w:val="restart"/>
                  <w:vAlign w:val="center"/>
                </w:tcPr>
                <w:p w14:paraId="1DCECBE5">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环保</w:t>
                  </w:r>
                </w:p>
                <w:p w14:paraId="0DB0B816">
                  <w:pPr>
                    <w:keepNext w:val="0"/>
                    <w:keepLines w:val="0"/>
                    <w:suppressLineNumbers w:val="0"/>
                    <w:spacing w:before="0" w:beforeAutospacing="0" w:after="0" w:afterAutospacing="0" w:line="300" w:lineRule="exact"/>
                    <w:ind w:left="0" w:right="0"/>
                    <w:jc w:val="center"/>
                    <w:rPr>
                      <w:rFonts w:hint="default"/>
                      <w:b/>
                      <w:bCs/>
                      <w:color w:val="auto"/>
                      <w:sz w:val="18"/>
                      <w:szCs w:val="18"/>
                    </w:rPr>
                  </w:pPr>
                  <w:r>
                    <w:rPr>
                      <w:rFonts w:hint="default"/>
                      <w:b/>
                      <w:bCs/>
                      <w:color w:val="auto"/>
                      <w:sz w:val="18"/>
                      <w:szCs w:val="18"/>
                    </w:rPr>
                    <w:t>工程</w:t>
                  </w:r>
                </w:p>
              </w:tc>
              <w:tc>
                <w:tcPr>
                  <w:tcW w:w="543" w:type="dxa"/>
                  <w:vMerge w:val="restart"/>
                  <w:vAlign w:val="center"/>
                </w:tcPr>
                <w:p w14:paraId="6BAF18E5">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废气</w:t>
                  </w:r>
                </w:p>
                <w:p w14:paraId="7202BF51">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处理</w:t>
                  </w:r>
                </w:p>
              </w:tc>
              <w:tc>
                <w:tcPr>
                  <w:tcW w:w="4046" w:type="dxa"/>
                  <w:vAlign w:val="center"/>
                </w:tcPr>
                <w:p w14:paraId="50F20525">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医疗废气：加强院区及各房间内部通风换气</w:t>
                  </w:r>
                </w:p>
              </w:tc>
              <w:tc>
                <w:tcPr>
                  <w:tcW w:w="765" w:type="dxa"/>
                  <w:vMerge w:val="continue"/>
                  <w:vAlign w:val="center"/>
                </w:tcPr>
                <w:p w14:paraId="3B03038B">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65D3EC61">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c>
                <w:tcPr>
                  <w:tcW w:w="575" w:type="dxa"/>
                  <w:vAlign w:val="center"/>
                </w:tcPr>
                <w:p w14:paraId="6B6643C7">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新建</w:t>
                  </w:r>
                </w:p>
              </w:tc>
            </w:tr>
            <w:tr w14:paraId="691C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6" w:hRule="atLeast"/>
                <w:jc w:val="center"/>
              </w:trPr>
              <w:tc>
                <w:tcPr>
                  <w:tcW w:w="586" w:type="dxa"/>
                  <w:vMerge w:val="continue"/>
                  <w:vAlign w:val="center"/>
                </w:tcPr>
                <w:p w14:paraId="2FDFBA78">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543" w:type="dxa"/>
                  <w:vMerge w:val="continue"/>
                  <w:vAlign w:val="center"/>
                </w:tcPr>
                <w:p w14:paraId="719E35B0">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4046" w:type="dxa"/>
                  <w:vAlign w:val="center"/>
                </w:tcPr>
                <w:p w14:paraId="48786252">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污水处理间恶臭：污水处理设施布置在封闭式房间内，池体加盖密闭（仅留通气口），加强通风换气、定期喷洒生物除臭剂</w:t>
                  </w:r>
                </w:p>
              </w:tc>
              <w:tc>
                <w:tcPr>
                  <w:tcW w:w="765" w:type="dxa"/>
                  <w:vMerge w:val="continue"/>
                  <w:vAlign w:val="center"/>
                </w:tcPr>
                <w:p w14:paraId="3E110FA7">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54E7B849">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噪声</w:t>
                  </w:r>
                </w:p>
              </w:tc>
              <w:tc>
                <w:tcPr>
                  <w:tcW w:w="575" w:type="dxa"/>
                  <w:vAlign w:val="center"/>
                </w:tcPr>
                <w:p w14:paraId="51F7462D">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新建</w:t>
                  </w:r>
                </w:p>
              </w:tc>
            </w:tr>
            <w:tr w14:paraId="0EA54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2" w:hRule="atLeast"/>
                <w:jc w:val="center"/>
              </w:trPr>
              <w:tc>
                <w:tcPr>
                  <w:tcW w:w="586" w:type="dxa"/>
                  <w:vMerge w:val="continue"/>
                  <w:vAlign w:val="center"/>
                </w:tcPr>
                <w:p w14:paraId="6C08E115">
                  <w:pPr>
                    <w:keepNext w:val="0"/>
                    <w:keepLines w:val="0"/>
                    <w:suppressLineNumbers w:val="0"/>
                    <w:spacing w:before="0" w:beforeAutospacing="0" w:after="0" w:afterAutospacing="0" w:line="300" w:lineRule="exact"/>
                    <w:ind w:left="0" w:right="0"/>
                    <w:jc w:val="center"/>
                    <w:rPr>
                      <w:rFonts w:hint="default"/>
                      <w:b/>
                      <w:bCs/>
                      <w:color w:val="auto"/>
                      <w:sz w:val="18"/>
                      <w:szCs w:val="18"/>
                    </w:rPr>
                  </w:pPr>
                </w:p>
              </w:tc>
              <w:tc>
                <w:tcPr>
                  <w:tcW w:w="543" w:type="dxa"/>
                  <w:vMerge w:val="continue"/>
                  <w:vAlign w:val="center"/>
                </w:tcPr>
                <w:p w14:paraId="7038D502">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4046" w:type="dxa"/>
                  <w:vAlign w:val="center"/>
                </w:tcPr>
                <w:p w14:paraId="09333211">
                  <w:pPr>
                    <w:keepNext w:val="0"/>
                    <w:keepLines w:val="0"/>
                    <w:suppressLineNumbers w:val="0"/>
                    <w:spacing w:before="0" w:beforeAutospacing="0" w:after="0" w:afterAutospacing="0" w:line="300" w:lineRule="exact"/>
                    <w:ind w:left="0" w:right="0"/>
                    <w:rPr>
                      <w:rFonts w:hint="default"/>
                      <w:color w:val="auto"/>
                      <w:sz w:val="18"/>
                      <w:szCs w:val="18"/>
                    </w:rPr>
                  </w:pPr>
                  <w:r>
                    <w:rPr>
                      <w:rFonts w:hint="eastAsia"/>
                      <w:color w:val="auto"/>
                      <w:sz w:val="18"/>
                      <w:szCs w:val="18"/>
                    </w:rPr>
                    <w:t>中药煎熬废气：中药熬煮过程中产生的废气、异味，主要成分为水蒸气和药材气味，设置独立</w:t>
                  </w:r>
                  <w:r>
                    <w:rPr>
                      <w:rFonts w:hint="eastAsia"/>
                      <w:color w:val="auto"/>
                      <w:sz w:val="18"/>
                      <w:szCs w:val="18"/>
                      <w:lang w:val="en-US" w:eastAsia="zh-CN"/>
                    </w:rPr>
                    <w:t>且</w:t>
                  </w:r>
                  <w:r>
                    <w:rPr>
                      <w:rFonts w:hint="eastAsia"/>
                      <w:color w:val="auto"/>
                      <w:sz w:val="18"/>
                      <w:szCs w:val="18"/>
                    </w:rPr>
                    <w:t>相对封闭煎药房，由风机将废气经管道引至楼顶活性炭吸附装置净化处理后排放</w:t>
                  </w:r>
                </w:p>
              </w:tc>
              <w:tc>
                <w:tcPr>
                  <w:tcW w:w="765" w:type="dxa"/>
                  <w:vMerge w:val="continue"/>
                  <w:vAlign w:val="center"/>
                </w:tcPr>
                <w:p w14:paraId="57346AFD">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01D2FE72">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噪声、废活性炭</w:t>
                  </w:r>
                </w:p>
              </w:tc>
              <w:tc>
                <w:tcPr>
                  <w:tcW w:w="575" w:type="dxa"/>
                  <w:vAlign w:val="center"/>
                </w:tcPr>
                <w:p w14:paraId="01706111">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新建</w:t>
                  </w:r>
                </w:p>
              </w:tc>
            </w:tr>
            <w:tr w14:paraId="6653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7" w:hRule="atLeast"/>
                <w:jc w:val="center"/>
              </w:trPr>
              <w:tc>
                <w:tcPr>
                  <w:tcW w:w="586" w:type="dxa"/>
                  <w:vMerge w:val="continue"/>
                  <w:vAlign w:val="center"/>
                </w:tcPr>
                <w:p w14:paraId="24A62C18">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43" w:type="dxa"/>
                  <w:vMerge w:val="restart"/>
                  <w:vAlign w:val="center"/>
                </w:tcPr>
                <w:p w14:paraId="4CC45FDD">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废水</w:t>
                  </w:r>
                </w:p>
                <w:p w14:paraId="67F992F2">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处理</w:t>
                  </w:r>
                </w:p>
              </w:tc>
              <w:tc>
                <w:tcPr>
                  <w:tcW w:w="4046" w:type="dxa"/>
                  <w:vAlign w:val="center"/>
                </w:tcPr>
                <w:p w14:paraId="62BAFAAB">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检验室酸碱废水：设专用容器收集中和至中性后，排入医院污水处理设施处理，最终达标排入市政污水管网</w:t>
                  </w:r>
                </w:p>
              </w:tc>
              <w:tc>
                <w:tcPr>
                  <w:tcW w:w="765" w:type="dxa"/>
                  <w:vMerge w:val="continue"/>
                  <w:vAlign w:val="center"/>
                </w:tcPr>
                <w:p w14:paraId="5F98AD26">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6251AECB">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c>
                <w:tcPr>
                  <w:tcW w:w="575" w:type="dxa"/>
                  <w:vAlign w:val="center"/>
                </w:tcPr>
                <w:p w14:paraId="69D4D406">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新建</w:t>
                  </w:r>
                </w:p>
              </w:tc>
            </w:tr>
            <w:tr w14:paraId="08E82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7" w:hRule="atLeast"/>
                <w:jc w:val="center"/>
              </w:trPr>
              <w:tc>
                <w:tcPr>
                  <w:tcW w:w="586" w:type="dxa"/>
                  <w:vMerge w:val="continue"/>
                  <w:vAlign w:val="center"/>
                </w:tcPr>
                <w:p w14:paraId="41950195">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43" w:type="dxa"/>
                  <w:vMerge w:val="continue"/>
                  <w:vAlign w:val="center"/>
                </w:tcPr>
                <w:p w14:paraId="417BE5EB">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4046" w:type="dxa"/>
                  <w:vAlign w:val="center"/>
                </w:tcPr>
                <w:p w14:paraId="5DEA6ABF">
                  <w:pPr>
                    <w:keepNext w:val="0"/>
                    <w:keepLines w:val="0"/>
                    <w:suppressLineNumbers w:val="0"/>
                    <w:spacing w:before="0" w:beforeAutospacing="0" w:after="0" w:afterAutospacing="0" w:line="300" w:lineRule="exact"/>
                    <w:ind w:left="0" w:right="0"/>
                    <w:rPr>
                      <w:rFonts w:hint="default" w:eastAsia="宋体"/>
                      <w:color w:val="auto"/>
                      <w:sz w:val="18"/>
                      <w:szCs w:val="18"/>
                      <w:lang w:val="en-US" w:eastAsia="zh-CN"/>
                    </w:rPr>
                  </w:pPr>
                  <w:r>
                    <w:rPr>
                      <w:rFonts w:hint="eastAsia"/>
                      <w:color w:val="auto"/>
                      <w:sz w:val="18"/>
                      <w:szCs w:val="18"/>
                      <w:lang w:val="en-US" w:eastAsia="zh-CN"/>
                    </w:rPr>
                    <w:t>血透中心阳性治疗区废水：单独收集至预消毒池（容积2m</w:t>
                  </w:r>
                  <w:r>
                    <w:rPr>
                      <w:rFonts w:hint="eastAsia"/>
                      <w:color w:val="auto"/>
                      <w:sz w:val="18"/>
                      <w:szCs w:val="18"/>
                      <w:vertAlign w:val="superscript"/>
                      <w:lang w:val="en-US" w:eastAsia="zh-CN"/>
                    </w:rPr>
                    <w:t>3</w:t>
                  </w:r>
                  <w:r>
                    <w:rPr>
                      <w:rFonts w:hint="eastAsia"/>
                      <w:color w:val="auto"/>
                      <w:sz w:val="18"/>
                      <w:szCs w:val="18"/>
                      <w:lang w:val="en-US" w:eastAsia="zh-CN"/>
                    </w:rPr>
                    <w:t>）消毒后，再排入污水处理站</w:t>
                  </w:r>
                </w:p>
              </w:tc>
              <w:tc>
                <w:tcPr>
                  <w:tcW w:w="765" w:type="dxa"/>
                  <w:vMerge w:val="continue"/>
                  <w:vAlign w:val="center"/>
                </w:tcPr>
                <w:p w14:paraId="265030DD">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0A9F42B8">
                  <w:pPr>
                    <w:keepNext w:val="0"/>
                    <w:keepLines w:val="0"/>
                    <w:suppressLineNumbers w:val="0"/>
                    <w:spacing w:before="0" w:beforeAutospacing="0" w:after="0" w:afterAutospacing="0" w:line="300" w:lineRule="exact"/>
                    <w:ind w:left="0" w:right="0"/>
                    <w:jc w:val="center"/>
                    <w:rPr>
                      <w:rFonts w:hint="eastAsia" w:eastAsia="宋体"/>
                      <w:color w:val="auto"/>
                      <w:sz w:val="18"/>
                      <w:szCs w:val="18"/>
                      <w:lang w:val="en-US" w:eastAsia="zh-CN"/>
                    </w:rPr>
                  </w:pPr>
                  <w:r>
                    <w:rPr>
                      <w:rFonts w:hint="eastAsia"/>
                      <w:color w:val="auto"/>
                      <w:sz w:val="18"/>
                      <w:szCs w:val="18"/>
                      <w:lang w:val="en-US" w:eastAsia="zh-CN"/>
                    </w:rPr>
                    <w:t>/</w:t>
                  </w:r>
                </w:p>
              </w:tc>
              <w:tc>
                <w:tcPr>
                  <w:tcW w:w="575" w:type="dxa"/>
                  <w:vAlign w:val="center"/>
                </w:tcPr>
                <w:p w14:paraId="60C52E6C">
                  <w:pPr>
                    <w:keepNext w:val="0"/>
                    <w:keepLines w:val="0"/>
                    <w:suppressLineNumbers w:val="0"/>
                    <w:spacing w:before="0" w:beforeAutospacing="0" w:after="0" w:afterAutospacing="0" w:line="300" w:lineRule="exact"/>
                    <w:ind w:left="0" w:right="0"/>
                    <w:jc w:val="center"/>
                    <w:rPr>
                      <w:rFonts w:hint="eastAsia" w:eastAsia="宋体"/>
                      <w:color w:val="auto"/>
                      <w:sz w:val="18"/>
                      <w:szCs w:val="18"/>
                      <w:lang w:val="en-US" w:eastAsia="zh-CN"/>
                    </w:rPr>
                  </w:pPr>
                  <w:r>
                    <w:rPr>
                      <w:rFonts w:hint="eastAsia"/>
                      <w:color w:val="auto"/>
                      <w:sz w:val="18"/>
                      <w:szCs w:val="18"/>
                      <w:lang w:val="en-US" w:eastAsia="zh-CN"/>
                    </w:rPr>
                    <w:t>新建</w:t>
                  </w:r>
                </w:p>
              </w:tc>
            </w:tr>
            <w:tr w14:paraId="7096F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8" w:hRule="atLeast"/>
                <w:jc w:val="center"/>
              </w:trPr>
              <w:tc>
                <w:tcPr>
                  <w:tcW w:w="586" w:type="dxa"/>
                  <w:vMerge w:val="continue"/>
                  <w:vAlign w:val="center"/>
                </w:tcPr>
                <w:p w14:paraId="0EA3B734">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43" w:type="dxa"/>
                  <w:vMerge w:val="continue"/>
                  <w:vAlign w:val="center"/>
                </w:tcPr>
                <w:p w14:paraId="0C68D532">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4046" w:type="dxa"/>
                  <w:vAlign w:val="center"/>
                </w:tcPr>
                <w:p w14:paraId="15536658">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医疗废水：</w:t>
                  </w:r>
                  <w:r>
                    <w:rPr>
                      <w:rFonts w:hint="eastAsia"/>
                      <w:color w:val="auto"/>
                      <w:sz w:val="18"/>
                      <w:szCs w:val="18"/>
                    </w:rPr>
                    <w:t>新建污水处理站，采用“化粪池+格栅+调节池+水解酸化+生物接触氧化+沉淀+消毒”工艺，设计处理规模1.5m</w:t>
                  </w:r>
                  <w:r>
                    <w:rPr>
                      <w:rFonts w:hint="eastAsia"/>
                      <w:color w:val="auto"/>
                      <w:sz w:val="18"/>
                      <w:szCs w:val="18"/>
                      <w:vertAlign w:val="superscript"/>
                    </w:rPr>
                    <w:t>3</w:t>
                  </w:r>
                  <w:r>
                    <w:rPr>
                      <w:rFonts w:hint="eastAsia"/>
                      <w:color w:val="auto"/>
                      <w:sz w:val="18"/>
                      <w:szCs w:val="18"/>
                    </w:rPr>
                    <w:t>/h，处理后达标排入罗江场镇市政污水管网</w:t>
                  </w:r>
                </w:p>
              </w:tc>
              <w:tc>
                <w:tcPr>
                  <w:tcW w:w="765" w:type="dxa"/>
                  <w:vMerge w:val="continue"/>
                  <w:vAlign w:val="center"/>
                </w:tcPr>
                <w:p w14:paraId="5B1E7A8B">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40F4DFF5">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恶臭、污泥</w:t>
                  </w:r>
                </w:p>
              </w:tc>
              <w:tc>
                <w:tcPr>
                  <w:tcW w:w="575" w:type="dxa"/>
                  <w:vAlign w:val="center"/>
                </w:tcPr>
                <w:p w14:paraId="04F85DAA">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新建</w:t>
                  </w:r>
                </w:p>
              </w:tc>
            </w:tr>
            <w:tr w14:paraId="099C4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7" w:hRule="atLeast"/>
                <w:jc w:val="center"/>
              </w:trPr>
              <w:tc>
                <w:tcPr>
                  <w:tcW w:w="586" w:type="dxa"/>
                  <w:vMerge w:val="continue"/>
                  <w:vAlign w:val="center"/>
                </w:tcPr>
                <w:p w14:paraId="5FA2A6C4">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43" w:type="dxa"/>
                  <w:vMerge w:val="continue"/>
                  <w:vAlign w:val="center"/>
                </w:tcPr>
                <w:p w14:paraId="3BF11929">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4046" w:type="dxa"/>
                  <w:vAlign w:val="center"/>
                </w:tcPr>
                <w:p w14:paraId="27DCA994">
                  <w:pPr>
                    <w:keepNext w:val="0"/>
                    <w:keepLines w:val="0"/>
                    <w:suppressLineNumbers w:val="0"/>
                    <w:spacing w:before="0" w:beforeAutospacing="0" w:after="0" w:afterAutospacing="0" w:line="300" w:lineRule="exact"/>
                    <w:ind w:left="0" w:right="0"/>
                    <w:rPr>
                      <w:rFonts w:hint="default"/>
                      <w:color w:val="auto"/>
                      <w:sz w:val="18"/>
                      <w:szCs w:val="18"/>
                    </w:rPr>
                  </w:pPr>
                  <w:r>
                    <w:rPr>
                      <w:rFonts w:hint="default"/>
                      <w:color w:val="auto"/>
                      <w:sz w:val="18"/>
                      <w:szCs w:val="18"/>
                    </w:rPr>
                    <w:t>生活污水：</w:t>
                  </w:r>
                  <w:r>
                    <w:rPr>
                      <w:rFonts w:hint="eastAsia"/>
                      <w:color w:val="auto"/>
                      <w:sz w:val="18"/>
                      <w:szCs w:val="18"/>
                    </w:rPr>
                    <w:t>管道</w:t>
                  </w:r>
                  <w:r>
                    <w:rPr>
                      <w:rFonts w:hint="default"/>
                      <w:color w:val="auto"/>
                      <w:sz w:val="18"/>
                      <w:szCs w:val="18"/>
                    </w:rPr>
                    <w:t>收集进入</w:t>
                  </w:r>
                  <w:r>
                    <w:rPr>
                      <w:rFonts w:hint="eastAsia"/>
                      <w:color w:val="auto"/>
                      <w:sz w:val="18"/>
                      <w:szCs w:val="18"/>
                    </w:rPr>
                    <w:t>化粪池，最后进</w:t>
                  </w:r>
                  <w:r>
                    <w:rPr>
                      <w:rFonts w:hint="default"/>
                      <w:color w:val="auto"/>
                      <w:sz w:val="18"/>
                      <w:szCs w:val="18"/>
                    </w:rPr>
                    <w:t>污水</w:t>
                  </w:r>
                  <w:r>
                    <w:rPr>
                      <w:rFonts w:hint="eastAsia"/>
                      <w:color w:val="auto"/>
                      <w:sz w:val="18"/>
                      <w:szCs w:val="18"/>
                    </w:rPr>
                    <w:t>处理</w:t>
                  </w:r>
                  <w:r>
                    <w:rPr>
                      <w:rFonts w:hint="default"/>
                      <w:color w:val="auto"/>
                      <w:sz w:val="18"/>
                      <w:szCs w:val="18"/>
                    </w:rPr>
                    <w:t>站处理</w:t>
                  </w:r>
                </w:p>
              </w:tc>
              <w:tc>
                <w:tcPr>
                  <w:tcW w:w="765" w:type="dxa"/>
                  <w:vMerge w:val="continue"/>
                  <w:vAlign w:val="center"/>
                </w:tcPr>
                <w:p w14:paraId="3E9F7B93">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6D9B703D">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恶臭、污泥</w:t>
                  </w:r>
                </w:p>
              </w:tc>
              <w:tc>
                <w:tcPr>
                  <w:tcW w:w="575" w:type="dxa"/>
                  <w:vAlign w:val="center"/>
                </w:tcPr>
                <w:p w14:paraId="3428137B">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新建</w:t>
                  </w:r>
                </w:p>
              </w:tc>
            </w:tr>
            <w:tr w14:paraId="19CC8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8" w:hRule="atLeast"/>
                <w:jc w:val="center"/>
              </w:trPr>
              <w:tc>
                <w:tcPr>
                  <w:tcW w:w="586" w:type="dxa"/>
                  <w:vMerge w:val="continue"/>
                  <w:vAlign w:val="center"/>
                </w:tcPr>
                <w:p w14:paraId="09630756">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43" w:type="dxa"/>
                  <w:vAlign w:val="center"/>
                </w:tcPr>
                <w:p w14:paraId="0BB3AB3A">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噪声治理</w:t>
                  </w:r>
                </w:p>
              </w:tc>
              <w:tc>
                <w:tcPr>
                  <w:tcW w:w="4046" w:type="dxa"/>
                  <w:vAlign w:val="center"/>
                </w:tcPr>
                <w:p w14:paraId="7CF56259">
                  <w:pPr>
                    <w:keepNext w:val="0"/>
                    <w:keepLines w:val="0"/>
                    <w:suppressLineNumbers w:val="0"/>
                    <w:spacing w:before="0" w:beforeAutospacing="0" w:after="0" w:afterAutospacing="0" w:line="300" w:lineRule="exact"/>
                    <w:ind w:left="0" w:right="0"/>
                    <w:jc w:val="left"/>
                    <w:rPr>
                      <w:rFonts w:hint="default"/>
                      <w:color w:val="auto"/>
                      <w:sz w:val="18"/>
                      <w:szCs w:val="18"/>
                    </w:rPr>
                  </w:pPr>
                  <w:r>
                    <w:rPr>
                      <w:rFonts w:hint="eastAsia"/>
                      <w:color w:val="auto"/>
                      <w:sz w:val="18"/>
                      <w:szCs w:val="18"/>
                    </w:rPr>
                    <w:t>产噪设备安装减振垫；废水站风机等安装消声器、柔性接口等；优化布局、废水站水泵等置于水下；设备定期检查、维修；加强对来院病人的引导等</w:t>
                  </w:r>
                </w:p>
              </w:tc>
              <w:tc>
                <w:tcPr>
                  <w:tcW w:w="765" w:type="dxa"/>
                  <w:vMerge w:val="continue"/>
                  <w:vAlign w:val="center"/>
                </w:tcPr>
                <w:p w14:paraId="4B149A44">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03384EF0">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w:t>
                  </w:r>
                </w:p>
              </w:tc>
              <w:tc>
                <w:tcPr>
                  <w:tcW w:w="575" w:type="dxa"/>
                  <w:vAlign w:val="center"/>
                </w:tcPr>
                <w:p w14:paraId="2457719E">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新建</w:t>
                  </w:r>
                </w:p>
              </w:tc>
            </w:tr>
            <w:tr w14:paraId="0F555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4" w:hRule="atLeast"/>
                <w:jc w:val="center"/>
              </w:trPr>
              <w:tc>
                <w:tcPr>
                  <w:tcW w:w="586" w:type="dxa"/>
                  <w:vMerge w:val="continue"/>
                  <w:vAlign w:val="center"/>
                </w:tcPr>
                <w:p w14:paraId="7D1F7930">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43" w:type="dxa"/>
                  <w:vMerge w:val="restart"/>
                  <w:vAlign w:val="center"/>
                </w:tcPr>
                <w:p w14:paraId="09B6CC8A">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固废</w:t>
                  </w:r>
                </w:p>
                <w:p w14:paraId="22E2CB6F">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处置</w:t>
                  </w:r>
                </w:p>
              </w:tc>
              <w:tc>
                <w:tcPr>
                  <w:tcW w:w="4046" w:type="dxa"/>
                  <w:vAlign w:val="center"/>
                </w:tcPr>
                <w:p w14:paraId="7EF25192">
                  <w:pPr>
                    <w:keepNext w:val="0"/>
                    <w:keepLines w:val="0"/>
                    <w:suppressLineNumbers w:val="0"/>
                    <w:spacing w:before="0" w:beforeAutospacing="0" w:after="0" w:afterAutospacing="0" w:line="300" w:lineRule="exact"/>
                    <w:ind w:left="0" w:right="0"/>
                    <w:jc w:val="left"/>
                    <w:rPr>
                      <w:rFonts w:hint="default"/>
                      <w:color w:val="auto"/>
                      <w:sz w:val="18"/>
                      <w:szCs w:val="18"/>
                    </w:rPr>
                  </w:pPr>
                  <w:r>
                    <w:rPr>
                      <w:rFonts w:hint="default"/>
                      <w:color w:val="auto"/>
                      <w:sz w:val="18"/>
                      <w:szCs w:val="18"/>
                    </w:rPr>
                    <w:t>医疗废物：</w:t>
                  </w:r>
                  <w:r>
                    <w:rPr>
                      <w:rFonts w:hint="eastAsia"/>
                      <w:color w:val="auto"/>
                      <w:sz w:val="18"/>
                      <w:szCs w:val="18"/>
                    </w:rPr>
                    <w:t>与生活垃圾分开收集，在医疗楼1楼设医废间（建筑面积约15m</w:t>
                  </w:r>
                  <w:r>
                    <w:rPr>
                      <w:rFonts w:hint="eastAsia"/>
                      <w:color w:val="auto"/>
                      <w:sz w:val="18"/>
                      <w:szCs w:val="18"/>
                      <w:vertAlign w:val="superscript"/>
                    </w:rPr>
                    <w:t>2</w:t>
                  </w:r>
                  <w:r>
                    <w:rPr>
                      <w:rFonts w:hint="eastAsia"/>
                      <w:color w:val="auto"/>
                      <w:sz w:val="18"/>
                      <w:szCs w:val="18"/>
                    </w:rPr>
                    <w:t>）及专用容积收集暂存，采取“四防”措施并设有警示标志，委托有资质的单位处置</w:t>
                  </w:r>
                </w:p>
              </w:tc>
              <w:tc>
                <w:tcPr>
                  <w:tcW w:w="765" w:type="dxa"/>
                  <w:vMerge w:val="continue"/>
                  <w:vAlign w:val="center"/>
                </w:tcPr>
                <w:p w14:paraId="4FAFD63B">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6010FF4C">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环境风险</w:t>
                  </w:r>
                </w:p>
              </w:tc>
              <w:tc>
                <w:tcPr>
                  <w:tcW w:w="575" w:type="dxa"/>
                  <w:vAlign w:val="center"/>
                </w:tcPr>
                <w:p w14:paraId="73183DA3">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新建</w:t>
                  </w:r>
                </w:p>
              </w:tc>
            </w:tr>
            <w:tr w14:paraId="468D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1" w:hRule="atLeast"/>
                <w:jc w:val="center"/>
              </w:trPr>
              <w:tc>
                <w:tcPr>
                  <w:tcW w:w="586" w:type="dxa"/>
                  <w:vMerge w:val="continue"/>
                  <w:vAlign w:val="center"/>
                </w:tcPr>
                <w:p w14:paraId="4F801983">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43" w:type="dxa"/>
                  <w:vMerge w:val="continue"/>
                  <w:vAlign w:val="center"/>
                </w:tcPr>
                <w:p w14:paraId="5C28D5B4">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4046" w:type="dxa"/>
                  <w:vAlign w:val="center"/>
                </w:tcPr>
                <w:p w14:paraId="4DAD30FD">
                  <w:pPr>
                    <w:keepNext w:val="0"/>
                    <w:keepLines w:val="0"/>
                    <w:suppressLineNumbers w:val="0"/>
                    <w:spacing w:before="0" w:beforeAutospacing="0" w:after="0" w:afterAutospacing="0" w:line="300" w:lineRule="exact"/>
                    <w:ind w:left="0" w:right="0"/>
                    <w:jc w:val="left"/>
                    <w:rPr>
                      <w:rFonts w:hint="default"/>
                      <w:color w:val="auto"/>
                      <w:sz w:val="18"/>
                      <w:szCs w:val="18"/>
                    </w:rPr>
                  </w:pPr>
                  <w:r>
                    <w:rPr>
                      <w:rFonts w:hint="eastAsia" w:ascii="宋体" w:hAnsi="宋体"/>
                      <w:color w:val="auto"/>
                      <w:sz w:val="18"/>
                      <w:szCs w:val="18"/>
                    </w:rPr>
                    <w:t>检验室废液：检验室</w:t>
                  </w:r>
                  <w:r>
                    <w:rPr>
                      <w:rFonts w:hint="default" w:ascii="宋体" w:hAnsi="宋体"/>
                      <w:color w:val="auto"/>
                      <w:sz w:val="18"/>
                      <w:szCs w:val="18"/>
                    </w:rPr>
                    <w:t>设专用储存容器暂存</w:t>
                  </w:r>
                  <w:r>
                    <w:rPr>
                      <w:rFonts w:hint="eastAsia" w:ascii="宋体" w:hAnsi="宋体"/>
                      <w:color w:val="auto"/>
                      <w:sz w:val="18"/>
                      <w:szCs w:val="18"/>
                    </w:rPr>
                    <w:t>，定期转运至医废间储存，最后交由有资质的单位处理</w:t>
                  </w:r>
                </w:p>
              </w:tc>
              <w:tc>
                <w:tcPr>
                  <w:tcW w:w="765" w:type="dxa"/>
                  <w:vMerge w:val="continue"/>
                  <w:vAlign w:val="center"/>
                </w:tcPr>
                <w:p w14:paraId="48F2D4EA">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063AB109">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环境风险</w:t>
                  </w:r>
                </w:p>
              </w:tc>
              <w:tc>
                <w:tcPr>
                  <w:tcW w:w="575" w:type="dxa"/>
                  <w:vAlign w:val="center"/>
                </w:tcPr>
                <w:p w14:paraId="455A22B4">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新建</w:t>
                  </w:r>
                </w:p>
              </w:tc>
            </w:tr>
            <w:tr w14:paraId="36AE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6" w:hRule="atLeast"/>
                <w:jc w:val="center"/>
              </w:trPr>
              <w:tc>
                <w:tcPr>
                  <w:tcW w:w="586" w:type="dxa"/>
                  <w:vMerge w:val="continue"/>
                  <w:vAlign w:val="center"/>
                </w:tcPr>
                <w:p w14:paraId="24DAA4EF">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43" w:type="dxa"/>
                  <w:vMerge w:val="continue"/>
                  <w:vAlign w:val="center"/>
                </w:tcPr>
                <w:p w14:paraId="59AE30B7">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4046" w:type="dxa"/>
                  <w:vAlign w:val="center"/>
                </w:tcPr>
                <w:p w14:paraId="4C4D7862">
                  <w:pPr>
                    <w:keepNext w:val="0"/>
                    <w:keepLines w:val="0"/>
                    <w:suppressLineNumbers w:val="0"/>
                    <w:spacing w:before="0" w:beforeAutospacing="0" w:after="0" w:afterAutospacing="0" w:line="300" w:lineRule="exact"/>
                    <w:ind w:left="0" w:right="0"/>
                    <w:jc w:val="left"/>
                    <w:rPr>
                      <w:rFonts w:hint="default"/>
                      <w:color w:val="auto"/>
                      <w:sz w:val="18"/>
                      <w:szCs w:val="18"/>
                    </w:rPr>
                  </w:pPr>
                  <w:r>
                    <w:rPr>
                      <w:rFonts w:hint="eastAsia"/>
                      <w:color w:val="auto"/>
                      <w:sz w:val="18"/>
                      <w:szCs w:val="18"/>
                      <w:lang w:val="en-US" w:eastAsia="zh-CN"/>
                    </w:rPr>
                    <w:t>煎药废气净化装置的</w:t>
                  </w:r>
                  <w:r>
                    <w:rPr>
                      <w:rFonts w:hint="eastAsia"/>
                      <w:color w:val="auto"/>
                      <w:sz w:val="18"/>
                      <w:szCs w:val="18"/>
                    </w:rPr>
                    <w:t>废活性炭：属于危险废物，采用防水编织袋包装，由厂家定期更换后，交由有资质的单位处置</w:t>
                  </w:r>
                </w:p>
              </w:tc>
              <w:tc>
                <w:tcPr>
                  <w:tcW w:w="765" w:type="dxa"/>
                  <w:vMerge w:val="continue"/>
                  <w:vAlign w:val="center"/>
                </w:tcPr>
                <w:p w14:paraId="39330D03">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3D78AD79">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环境风险</w:t>
                  </w:r>
                </w:p>
              </w:tc>
              <w:tc>
                <w:tcPr>
                  <w:tcW w:w="575" w:type="dxa"/>
                  <w:vAlign w:val="center"/>
                </w:tcPr>
                <w:p w14:paraId="0AF61378">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新建</w:t>
                  </w:r>
                </w:p>
              </w:tc>
            </w:tr>
            <w:tr w14:paraId="04809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6" w:hRule="atLeast"/>
                <w:jc w:val="center"/>
              </w:trPr>
              <w:tc>
                <w:tcPr>
                  <w:tcW w:w="586" w:type="dxa"/>
                  <w:vMerge w:val="continue"/>
                  <w:vAlign w:val="center"/>
                </w:tcPr>
                <w:p w14:paraId="2F9A1593">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43" w:type="dxa"/>
                  <w:vMerge w:val="continue"/>
                  <w:vAlign w:val="center"/>
                </w:tcPr>
                <w:p w14:paraId="7921596F">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4046" w:type="dxa"/>
                  <w:vAlign w:val="center"/>
                </w:tcPr>
                <w:p w14:paraId="00BF1137">
                  <w:pPr>
                    <w:keepNext w:val="0"/>
                    <w:keepLines w:val="0"/>
                    <w:suppressLineNumbers w:val="0"/>
                    <w:spacing w:before="0" w:beforeAutospacing="0" w:after="0" w:afterAutospacing="0" w:line="300" w:lineRule="exact"/>
                    <w:ind w:left="0" w:right="0"/>
                    <w:jc w:val="left"/>
                    <w:rPr>
                      <w:rFonts w:hint="default"/>
                      <w:color w:val="auto"/>
                      <w:sz w:val="18"/>
                      <w:szCs w:val="18"/>
                    </w:rPr>
                  </w:pPr>
                  <w:r>
                    <w:rPr>
                      <w:rFonts w:hint="default"/>
                      <w:color w:val="auto"/>
                      <w:sz w:val="18"/>
                      <w:szCs w:val="18"/>
                    </w:rPr>
                    <w:t>污水</w:t>
                  </w:r>
                  <w:r>
                    <w:rPr>
                      <w:rFonts w:hint="eastAsia"/>
                      <w:color w:val="auto"/>
                      <w:sz w:val="18"/>
                      <w:szCs w:val="18"/>
                    </w:rPr>
                    <w:t>处理</w:t>
                  </w:r>
                  <w:r>
                    <w:rPr>
                      <w:rFonts w:hint="default"/>
                      <w:color w:val="auto"/>
                      <w:sz w:val="18"/>
                      <w:szCs w:val="18"/>
                    </w:rPr>
                    <w:t>设施污泥：属于危险废物，定期清掏消杀后委托有资质的单位处理，纳入危废管理</w:t>
                  </w:r>
                </w:p>
              </w:tc>
              <w:tc>
                <w:tcPr>
                  <w:tcW w:w="765" w:type="dxa"/>
                  <w:vMerge w:val="continue"/>
                  <w:vAlign w:val="center"/>
                </w:tcPr>
                <w:p w14:paraId="147F0FDB">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37D45925">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环境风险</w:t>
                  </w:r>
                </w:p>
              </w:tc>
              <w:tc>
                <w:tcPr>
                  <w:tcW w:w="575" w:type="dxa"/>
                  <w:vAlign w:val="center"/>
                </w:tcPr>
                <w:p w14:paraId="751731CC">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新建</w:t>
                  </w:r>
                </w:p>
              </w:tc>
            </w:tr>
            <w:tr w14:paraId="7FD3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6" w:hRule="atLeast"/>
                <w:jc w:val="center"/>
              </w:trPr>
              <w:tc>
                <w:tcPr>
                  <w:tcW w:w="586" w:type="dxa"/>
                  <w:vMerge w:val="continue"/>
                  <w:vAlign w:val="center"/>
                </w:tcPr>
                <w:p w14:paraId="7B3D3157">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43" w:type="dxa"/>
                  <w:vMerge w:val="continue"/>
                  <w:vAlign w:val="center"/>
                </w:tcPr>
                <w:p w14:paraId="6A11E50A">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4046" w:type="dxa"/>
                  <w:vAlign w:val="center"/>
                </w:tcPr>
                <w:p w14:paraId="63937ACE">
                  <w:pPr>
                    <w:keepNext w:val="0"/>
                    <w:keepLines w:val="0"/>
                    <w:suppressLineNumbers w:val="0"/>
                    <w:spacing w:before="0" w:beforeAutospacing="0" w:after="0" w:afterAutospacing="0" w:line="300" w:lineRule="exact"/>
                    <w:ind w:left="0" w:right="0"/>
                    <w:jc w:val="left"/>
                    <w:rPr>
                      <w:rFonts w:hint="default"/>
                      <w:color w:val="auto"/>
                      <w:sz w:val="18"/>
                      <w:szCs w:val="18"/>
                    </w:rPr>
                  </w:pPr>
                  <w:r>
                    <w:rPr>
                      <w:rFonts w:hint="default"/>
                      <w:color w:val="auto"/>
                      <w:sz w:val="18"/>
                      <w:szCs w:val="18"/>
                    </w:rPr>
                    <w:t>生活垃圾：各楼层过道及房间内设生活垃圾收集桶，与医疗废物分开收集，及时送至附近生活垃圾收集点，由环卫部门负责清运处置</w:t>
                  </w:r>
                </w:p>
              </w:tc>
              <w:tc>
                <w:tcPr>
                  <w:tcW w:w="765" w:type="dxa"/>
                  <w:vMerge w:val="continue"/>
                  <w:vAlign w:val="center"/>
                </w:tcPr>
                <w:p w14:paraId="2EBF6A70">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415815FB">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c>
                <w:tcPr>
                  <w:tcW w:w="575" w:type="dxa"/>
                  <w:vAlign w:val="center"/>
                </w:tcPr>
                <w:p w14:paraId="069A19C2">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新建</w:t>
                  </w:r>
                </w:p>
              </w:tc>
            </w:tr>
            <w:tr w14:paraId="10462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3" w:hRule="atLeast"/>
                <w:jc w:val="center"/>
              </w:trPr>
              <w:tc>
                <w:tcPr>
                  <w:tcW w:w="586" w:type="dxa"/>
                  <w:vMerge w:val="continue"/>
                  <w:vAlign w:val="center"/>
                </w:tcPr>
                <w:p w14:paraId="25D39581">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543" w:type="dxa"/>
                  <w:vMerge w:val="continue"/>
                  <w:vAlign w:val="center"/>
                </w:tcPr>
                <w:p w14:paraId="02370FA6">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4046" w:type="dxa"/>
                  <w:vAlign w:val="center"/>
                </w:tcPr>
                <w:p w14:paraId="37C8DA83">
                  <w:pPr>
                    <w:keepNext w:val="0"/>
                    <w:keepLines w:val="0"/>
                    <w:suppressLineNumbers w:val="0"/>
                    <w:spacing w:before="0" w:beforeAutospacing="0" w:after="0" w:afterAutospacing="0" w:line="300" w:lineRule="exact"/>
                    <w:ind w:left="0" w:right="0"/>
                    <w:jc w:val="left"/>
                    <w:rPr>
                      <w:rFonts w:hint="default" w:eastAsia="宋体"/>
                      <w:color w:val="auto"/>
                      <w:sz w:val="18"/>
                      <w:szCs w:val="18"/>
                      <w:lang w:val="en-US" w:eastAsia="zh-CN"/>
                    </w:rPr>
                  </w:pPr>
                  <w:r>
                    <w:rPr>
                      <w:rFonts w:hint="eastAsia"/>
                      <w:color w:val="auto"/>
                      <w:sz w:val="18"/>
                      <w:szCs w:val="18"/>
                    </w:rPr>
                    <w:t>一般固废</w:t>
                  </w:r>
                  <w:r>
                    <w:rPr>
                      <w:rFonts w:hint="eastAsia"/>
                      <w:color w:val="auto"/>
                      <w:sz w:val="18"/>
                      <w:szCs w:val="18"/>
                      <w:lang w:eastAsia="zh-CN"/>
                    </w:rPr>
                    <w:t>：</w:t>
                  </w:r>
                  <w:r>
                    <w:rPr>
                      <w:rFonts w:hint="eastAsia"/>
                      <w:color w:val="auto"/>
                      <w:sz w:val="18"/>
                      <w:szCs w:val="18"/>
                    </w:rPr>
                    <w:t>收集后委托专业单位回收处置</w:t>
                  </w:r>
                  <w:r>
                    <w:rPr>
                      <w:rFonts w:hint="eastAsia"/>
                      <w:color w:val="auto"/>
                      <w:sz w:val="18"/>
                      <w:szCs w:val="18"/>
                      <w:lang w:val="en-US" w:eastAsia="zh-CN"/>
                    </w:rPr>
                    <w:t>或环卫部门收集处置</w:t>
                  </w:r>
                </w:p>
              </w:tc>
              <w:tc>
                <w:tcPr>
                  <w:tcW w:w="765" w:type="dxa"/>
                  <w:vMerge w:val="continue"/>
                  <w:vAlign w:val="center"/>
                </w:tcPr>
                <w:p w14:paraId="22531D4E">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1335ADD1">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w:t>
                  </w:r>
                </w:p>
              </w:tc>
              <w:tc>
                <w:tcPr>
                  <w:tcW w:w="575" w:type="dxa"/>
                  <w:vAlign w:val="center"/>
                </w:tcPr>
                <w:p w14:paraId="68FD29EC">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新建</w:t>
                  </w:r>
                </w:p>
              </w:tc>
            </w:tr>
            <w:tr w14:paraId="2B50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8" w:hRule="atLeast"/>
                <w:jc w:val="center"/>
              </w:trPr>
              <w:tc>
                <w:tcPr>
                  <w:tcW w:w="1129" w:type="dxa"/>
                  <w:gridSpan w:val="2"/>
                  <w:vAlign w:val="center"/>
                </w:tcPr>
                <w:p w14:paraId="3CEFC272">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办公及生活</w:t>
                  </w:r>
                </w:p>
              </w:tc>
              <w:tc>
                <w:tcPr>
                  <w:tcW w:w="4046" w:type="dxa"/>
                  <w:vAlign w:val="center"/>
                </w:tcPr>
                <w:p w14:paraId="3F8CA4FB">
                  <w:pPr>
                    <w:keepNext w:val="0"/>
                    <w:keepLines w:val="0"/>
                    <w:suppressLineNumbers w:val="0"/>
                    <w:spacing w:before="0" w:beforeAutospacing="0" w:after="0" w:afterAutospacing="0" w:line="300" w:lineRule="exact"/>
                    <w:ind w:left="0" w:right="0"/>
                    <w:rPr>
                      <w:rFonts w:hint="default"/>
                      <w:color w:val="auto"/>
                    </w:rPr>
                  </w:pPr>
                  <w:r>
                    <w:rPr>
                      <w:rFonts w:hint="eastAsia" w:ascii="宋体" w:hAnsi="宋体"/>
                      <w:color w:val="auto"/>
                      <w:sz w:val="18"/>
                      <w:szCs w:val="18"/>
                    </w:rPr>
                    <w:t>在医疗楼内设医生办公室、护士办公室等，医疗楼不设职工食堂。职工就餐依托德源医养中心食堂</w:t>
                  </w:r>
                </w:p>
              </w:tc>
              <w:tc>
                <w:tcPr>
                  <w:tcW w:w="765" w:type="dxa"/>
                  <w:vMerge w:val="continue"/>
                  <w:vAlign w:val="center"/>
                </w:tcPr>
                <w:p w14:paraId="03404043">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1309" w:type="dxa"/>
                  <w:vAlign w:val="center"/>
                </w:tcPr>
                <w:p w14:paraId="4BFA9F14">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生活污水、生活垃圾</w:t>
                  </w:r>
                </w:p>
              </w:tc>
              <w:tc>
                <w:tcPr>
                  <w:tcW w:w="575" w:type="dxa"/>
                  <w:vAlign w:val="center"/>
                </w:tcPr>
                <w:p w14:paraId="4080EDC7">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新建</w:t>
                  </w:r>
                </w:p>
              </w:tc>
            </w:tr>
          </w:tbl>
          <w:p w14:paraId="2B94BCE2">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rPr>
            </w:pPr>
            <w:r>
              <w:rPr>
                <w:rFonts w:hint="default" w:eastAsia="黑体" w:cs="宋体"/>
                <w:color w:val="auto"/>
                <w:kern w:val="0"/>
              </w:rPr>
              <w:t>3、公用</w:t>
            </w:r>
            <w:r>
              <w:rPr>
                <w:rFonts w:hint="eastAsia" w:eastAsia="黑体" w:cs="宋体"/>
                <w:color w:val="auto"/>
                <w:kern w:val="0"/>
                <w:lang w:val="en-US" w:eastAsia="zh-CN"/>
              </w:rPr>
              <w:t>及辅助</w:t>
            </w:r>
            <w:r>
              <w:rPr>
                <w:rFonts w:hint="default" w:eastAsia="黑体" w:cs="宋体"/>
                <w:color w:val="auto"/>
                <w:kern w:val="0"/>
              </w:rPr>
              <w:t>工程</w:t>
            </w:r>
          </w:p>
          <w:p w14:paraId="6D5C7487">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lang w:val="zh-CN"/>
              </w:rPr>
            </w:pPr>
            <w:r>
              <w:rPr>
                <w:rFonts w:hint="default"/>
                <w:color w:val="auto"/>
                <w:lang w:val="zh-CN"/>
              </w:rPr>
              <w:t>（</w:t>
            </w:r>
            <w:r>
              <w:rPr>
                <w:rFonts w:hint="default"/>
                <w:color w:val="auto"/>
              </w:rPr>
              <w:t>1</w:t>
            </w:r>
            <w:r>
              <w:rPr>
                <w:rFonts w:hint="default"/>
                <w:color w:val="auto"/>
                <w:lang w:val="zh-CN"/>
              </w:rPr>
              <w:t>）给水</w:t>
            </w:r>
          </w:p>
          <w:p w14:paraId="061A6B82">
            <w:pPr>
              <w:keepNext w:val="0"/>
              <w:keepLines w:val="0"/>
              <w:suppressLineNumbers w:val="0"/>
              <w:autoSpaceDE w:val="0"/>
              <w:autoSpaceDN w:val="0"/>
              <w:adjustRightInd w:val="0"/>
              <w:spacing w:before="0" w:beforeAutospacing="0" w:after="0" w:afterAutospacing="0" w:line="400" w:lineRule="exact"/>
              <w:ind w:left="0" w:right="0" w:firstLine="412" w:firstLineChars="200"/>
              <w:rPr>
                <w:rFonts w:hint="default"/>
                <w:color w:val="auto"/>
                <w:lang w:val="zh-CN"/>
              </w:rPr>
            </w:pPr>
            <w:r>
              <w:rPr>
                <w:rFonts w:hint="eastAsia"/>
                <w:color w:val="auto"/>
                <w:spacing w:val="-2"/>
                <w:lang w:val="zh-CN"/>
              </w:rPr>
              <w:t>项目</w:t>
            </w:r>
            <w:r>
              <w:rPr>
                <w:rFonts w:hint="default"/>
                <w:color w:val="auto"/>
                <w:spacing w:val="-2"/>
                <w:lang w:val="zh-CN"/>
              </w:rPr>
              <w:t>给水水源为市政水源</w:t>
            </w:r>
            <w:r>
              <w:rPr>
                <w:rFonts w:hint="default"/>
                <w:color w:val="auto"/>
                <w:lang w:val="zh-CN"/>
              </w:rPr>
              <w:t>，水质满足生活饮用水水质标准。</w:t>
            </w:r>
          </w:p>
          <w:p w14:paraId="48FED73C">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lang w:val="zh-CN"/>
              </w:rPr>
            </w:pPr>
            <w:r>
              <w:rPr>
                <w:rFonts w:hint="default"/>
                <w:color w:val="auto"/>
                <w:lang w:val="zh-CN"/>
              </w:rPr>
              <w:t>（</w:t>
            </w:r>
            <w:r>
              <w:rPr>
                <w:rFonts w:hint="default"/>
                <w:color w:val="auto"/>
              </w:rPr>
              <w:t>2</w:t>
            </w:r>
            <w:r>
              <w:rPr>
                <w:rFonts w:hint="default"/>
                <w:color w:val="auto"/>
                <w:lang w:val="zh-CN"/>
              </w:rPr>
              <w:t>）排水</w:t>
            </w:r>
          </w:p>
          <w:p w14:paraId="7A985D0E">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lang w:val="zh-CN"/>
              </w:rPr>
            </w:pPr>
            <w:r>
              <w:rPr>
                <w:rFonts w:hint="default"/>
                <w:color w:val="auto"/>
                <w:lang w:val="zh-CN"/>
              </w:rPr>
              <w:t>项目排水采用雨污分流体制排水。雨水排入</w:t>
            </w:r>
            <w:r>
              <w:rPr>
                <w:rFonts w:hint="eastAsia"/>
                <w:color w:val="auto"/>
              </w:rPr>
              <w:t>场镇雨水管网</w:t>
            </w:r>
            <w:r>
              <w:rPr>
                <w:rFonts w:hint="default"/>
                <w:color w:val="auto"/>
                <w:lang w:val="zh-CN"/>
              </w:rPr>
              <w:t>。医疗废水和生活污水通过自建管网收集后，排入自有污水处理设施</w:t>
            </w:r>
            <w:r>
              <w:rPr>
                <w:rFonts w:hint="eastAsia"/>
                <w:color w:val="auto"/>
                <w:lang w:val="zh-CN"/>
              </w:rPr>
              <w:t>，处理后</w:t>
            </w:r>
            <w:r>
              <w:rPr>
                <w:rFonts w:hint="default"/>
                <w:color w:val="auto"/>
                <w:lang w:val="zh-CN"/>
              </w:rPr>
              <w:t>达到《医疗机构水污染物排放标准》（GB18466-2005）预处理标准排入</w:t>
            </w:r>
            <w:r>
              <w:rPr>
                <w:rFonts w:hint="eastAsia"/>
                <w:color w:val="auto"/>
              </w:rPr>
              <w:t>市政</w:t>
            </w:r>
            <w:r>
              <w:rPr>
                <w:rFonts w:hint="default"/>
                <w:color w:val="auto"/>
                <w:lang w:val="zh-CN"/>
              </w:rPr>
              <w:t>污水管网，由</w:t>
            </w:r>
            <w:r>
              <w:rPr>
                <w:rFonts w:hint="eastAsia"/>
                <w:color w:val="auto"/>
              </w:rPr>
              <w:t>市政</w:t>
            </w:r>
            <w:r>
              <w:rPr>
                <w:rFonts w:hint="default"/>
                <w:color w:val="auto"/>
                <w:lang w:val="zh-CN"/>
              </w:rPr>
              <w:t>污水管网纳入</w:t>
            </w:r>
            <w:r>
              <w:rPr>
                <w:rFonts w:hint="eastAsia"/>
                <w:color w:val="auto"/>
              </w:rPr>
              <w:t>罗江镇场镇</w:t>
            </w:r>
            <w:r>
              <w:rPr>
                <w:rFonts w:hint="default"/>
                <w:color w:val="auto"/>
                <w:lang w:val="zh-CN"/>
              </w:rPr>
              <w:t>污水处理厂集中处理后，再达标排入州河。</w:t>
            </w:r>
          </w:p>
          <w:p w14:paraId="428ACE42">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lang w:val="zh-CN"/>
              </w:rPr>
            </w:pPr>
            <w:r>
              <w:rPr>
                <w:rFonts w:hint="default"/>
                <w:color w:val="auto"/>
                <w:lang w:val="zh-CN"/>
              </w:rPr>
              <w:t>（</w:t>
            </w:r>
            <w:r>
              <w:rPr>
                <w:rFonts w:hint="default"/>
                <w:color w:val="auto"/>
              </w:rPr>
              <w:t>3</w:t>
            </w:r>
            <w:r>
              <w:rPr>
                <w:rFonts w:hint="default"/>
                <w:color w:val="auto"/>
                <w:lang w:val="zh-CN"/>
              </w:rPr>
              <w:t>）供电</w:t>
            </w:r>
          </w:p>
          <w:p w14:paraId="2F674918">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eastAsia"/>
                <w:color w:val="auto"/>
                <w:lang w:val="zh-CN"/>
              </w:rPr>
            </w:pPr>
            <w:r>
              <w:rPr>
                <w:rFonts w:hint="default"/>
                <w:color w:val="auto"/>
                <w:lang w:val="zh-CN"/>
              </w:rPr>
              <w:t>本项目电源由</w:t>
            </w:r>
            <w:r>
              <w:rPr>
                <w:rFonts w:hint="eastAsia"/>
                <w:color w:val="auto"/>
                <w:lang w:val="zh-CN"/>
              </w:rPr>
              <w:t>市政供电电网，能够满足项目用电需求。</w:t>
            </w:r>
            <w:r>
              <w:rPr>
                <w:rFonts w:hint="eastAsia"/>
                <w:color w:val="auto"/>
              </w:rPr>
              <w:t>备用电源依托德源医养中心的备用</w:t>
            </w:r>
            <w:r>
              <w:rPr>
                <w:rFonts w:hint="eastAsia"/>
                <w:color w:val="auto"/>
                <w:lang w:val="zh-CN"/>
              </w:rPr>
              <w:t>发柴油电机。</w:t>
            </w:r>
          </w:p>
          <w:p w14:paraId="1AC7EF4B">
            <w:pPr>
              <w:keepNext w:val="0"/>
              <w:keepLines w:val="0"/>
              <w:numPr>
                <w:ilvl w:val="0"/>
                <w:numId w:val="2"/>
              </w:numPr>
              <w:suppressLineNumbers w:val="0"/>
              <w:autoSpaceDE w:val="0"/>
              <w:autoSpaceDN w:val="0"/>
              <w:adjustRightInd w:val="0"/>
              <w:spacing w:before="0" w:beforeAutospacing="0" w:after="0" w:afterAutospacing="0" w:line="400" w:lineRule="exact"/>
              <w:ind w:left="0" w:right="0" w:firstLine="420" w:firstLineChars="200"/>
              <w:rPr>
                <w:rFonts w:hint="eastAsia"/>
                <w:color w:val="auto"/>
                <w:lang w:val="en-US" w:eastAsia="zh-CN"/>
              </w:rPr>
            </w:pPr>
            <w:r>
              <w:rPr>
                <w:rFonts w:hint="eastAsia"/>
                <w:color w:val="auto"/>
                <w:lang w:val="en-US" w:eastAsia="zh-CN"/>
              </w:rPr>
              <w:t>空调系统</w:t>
            </w:r>
          </w:p>
          <w:p w14:paraId="4F9EC26E">
            <w:pPr>
              <w:keepNext w:val="0"/>
              <w:keepLines w:val="0"/>
              <w:numPr>
                <w:ilvl w:val="0"/>
                <w:numId w:val="0"/>
              </w:numPr>
              <w:suppressLineNumbers w:val="0"/>
              <w:autoSpaceDE w:val="0"/>
              <w:autoSpaceDN w:val="0"/>
              <w:adjustRightInd w:val="0"/>
              <w:spacing w:before="0" w:beforeAutospacing="0" w:after="0" w:afterAutospacing="0" w:line="400" w:lineRule="exact"/>
              <w:ind w:left="0" w:right="0" w:rightChars="0" w:firstLine="420" w:firstLineChars="200"/>
              <w:rPr>
                <w:rFonts w:hint="default"/>
                <w:color w:val="auto"/>
                <w:lang w:val="en-US" w:eastAsia="zh-CN"/>
              </w:rPr>
            </w:pPr>
            <w:r>
              <w:rPr>
                <w:rFonts w:hint="eastAsia"/>
                <w:color w:val="auto"/>
                <w:lang w:val="en-US" w:eastAsia="zh-CN"/>
              </w:rPr>
              <w:t>项目区设置有一套空气能中央空调系统，设备外机布置在医疗楼东侧。</w:t>
            </w:r>
          </w:p>
          <w:p w14:paraId="48B4B2BC">
            <w:pPr>
              <w:keepNext w:val="0"/>
              <w:keepLines w:val="0"/>
              <w:numPr>
                <w:ilvl w:val="0"/>
                <w:numId w:val="2"/>
              </w:numPr>
              <w:suppressLineNumbers w:val="0"/>
              <w:autoSpaceDE w:val="0"/>
              <w:autoSpaceDN w:val="0"/>
              <w:adjustRightInd w:val="0"/>
              <w:spacing w:before="0" w:beforeAutospacing="0" w:after="0" w:afterAutospacing="0" w:line="400" w:lineRule="exact"/>
              <w:ind w:left="0" w:leftChars="0" w:right="0" w:firstLine="420" w:firstLineChars="200"/>
              <w:rPr>
                <w:rFonts w:hint="eastAsia"/>
                <w:color w:val="auto"/>
                <w:lang w:val="en-US" w:eastAsia="zh-CN"/>
              </w:rPr>
            </w:pPr>
            <w:r>
              <w:rPr>
                <w:rFonts w:hint="eastAsia"/>
                <w:color w:val="auto"/>
                <w:lang w:val="en-US" w:eastAsia="zh-CN"/>
              </w:rPr>
              <w:t>供氧系统</w:t>
            </w:r>
          </w:p>
          <w:p w14:paraId="464E65EB">
            <w:pPr>
              <w:keepNext w:val="0"/>
              <w:keepLines w:val="0"/>
              <w:numPr>
                <w:ilvl w:val="0"/>
                <w:numId w:val="0"/>
              </w:numPr>
              <w:suppressLineNumbers w:val="0"/>
              <w:autoSpaceDE w:val="0"/>
              <w:autoSpaceDN w:val="0"/>
              <w:adjustRightInd w:val="0"/>
              <w:spacing w:before="0" w:beforeAutospacing="0" w:after="0" w:afterAutospacing="0" w:line="400" w:lineRule="exact"/>
              <w:ind w:left="0" w:right="0" w:rightChars="0" w:firstLine="420" w:firstLineChars="200"/>
              <w:rPr>
                <w:rFonts w:hint="default"/>
                <w:color w:val="auto"/>
                <w:lang w:val="en-US" w:eastAsia="zh-CN"/>
              </w:rPr>
            </w:pPr>
            <w:r>
              <w:rPr>
                <w:rFonts w:hint="eastAsia"/>
                <w:color w:val="auto"/>
                <w:lang w:val="en-US" w:eastAsia="zh-CN"/>
              </w:rPr>
              <w:t>项目区不设置供养站，供氧采用外购成品氧气罐供氧。</w:t>
            </w:r>
          </w:p>
          <w:p w14:paraId="5ED6E60E">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lang w:val="en-US" w:eastAsia="zh-CN"/>
              </w:rPr>
            </w:pPr>
            <w:r>
              <w:rPr>
                <w:rFonts w:hint="eastAsia"/>
                <w:color w:val="auto"/>
                <w:lang w:val="en-US" w:eastAsia="zh-CN"/>
              </w:rPr>
              <w:t>（6）血透中心消毒系统</w:t>
            </w:r>
          </w:p>
          <w:p w14:paraId="65504F6D">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s="宋体"/>
                <w:color w:val="auto"/>
                <w:kern w:val="0"/>
              </w:rPr>
            </w:pPr>
            <w:r>
              <w:rPr>
                <w:rFonts w:hint="eastAsia" w:cs="宋体"/>
                <w:color w:val="auto"/>
                <w:kern w:val="0"/>
              </w:rPr>
              <w:t>根据《血液净化标准操作规程》规定，透析治疗室应当达到《医院消毒卫生标准》(GB15982-2012) 中规定的I类环境，并保持安静，光线充足。具备通风设施或空气消毒装置、空调等，保持空气清新。</w:t>
            </w:r>
          </w:p>
          <w:p w14:paraId="195D814C">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lang w:val="zh-CN"/>
              </w:rPr>
            </w:pPr>
            <w:r>
              <w:rPr>
                <w:rFonts w:hint="eastAsia" w:cs="宋体"/>
                <w:color w:val="auto"/>
                <w:kern w:val="0"/>
              </w:rPr>
              <w:t>项目空气消毒采用空气消毒机消毒</w:t>
            </w:r>
            <w:r>
              <w:rPr>
                <w:rFonts w:hint="eastAsia" w:cs="宋体"/>
                <w:color w:val="auto"/>
                <w:kern w:val="0"/>
                <w:lang w:eastAsia="zh-CN"/>
              </w:rPr>
              <w:t>；</w:t>
            </w:r>
            <w:r>
              <w:rPr>
                <w:rFonts w:hint="eastAsia" w:cs="宋体"/>
                <w:color w:val="auto"/>
                <w:kern w:val="0"/>
              </w:rPr>
              <w:t>透析设备经自带的加热装置进行热消毒，根据设备的说明书，偶尔使用柠檬酸、次氯酸钠、泡腾片等对设备进行消毒处理</w:t>
            </w:r>
            <w:r>
              <w:rPr>
                <w:rFonts w:hint="eastAsia" w:cs="宋体"/>
                <w:color w:val="auto"/>
                <w:kern w:val="0"/>
                <w:lang w:eastAsia="zh-CN"/>
              </w:rPr>
              <w:t>：</w:t>
            </w:r>
            <w:r>
              <w:rPr>
                <w:rFonts w:hint="eastAsia" w:cs="宋体"/>
                <w:color w:val="auto"/>
                <w:kern w:val="0"/>
              </w:rPr>
              <w:t>医疗废水处理系统采用</w:t>
            </w:r>
            <w:r>
              <w:rPr>
                <w:rFonts w:hint="eastAsia" w:cs="宋体"/>
                <w:color w:val="auto"/>
                <w:kern w:val="0"/>
                <w:lang w:val="en-US" w:eastAsia="zh-CN"/>
              </w:rPr>
              <w:t>含氯消毒片</w:t>
            </w:r>
            <w:r>
              <w:rPr>
                <w:rFonts w:hint="eastAsia" w:cs="宋体"/>
                <w:color w:val="auto"/>
                <w:kern w:val="0"/>
              </w:rPr>
              <w:t>进行消毒，项目地面消毒采取加入</w:t>
            </w:r>
            <w:r>
              <w:rPr>
                <w:rFonts w:hint="eastAsia" w:cs="宋体"/>
                <w:color w:val="auto"/>
                <w:kern w:val="0"/>
                <w:lang w:val="en-US" w:eastAsia="zh-CN"/>
              </w:rPr>
              <w:t>84</w:t>
            </w:r>
            <w:r>
              <w:rPr>
                <w:rFonts w:hint="eastAsia" w:cs="宋体"/>
                <w:color w:val="auto"/>
                <w:kern w:val="0"/>
              </w:rPr>
              <w:t>消毒液的清洁水清洗拖把后进行地面清洁和消毒</w:t>
            </w:r>
            <w:r>
              <w:rPr>
                <w:rFonts w:hint="eastAsia" w:cs="宋体"/>
                <w:color w:val="auto"/>
                <w:kern w:val="0"/>
                <w:lang w:eastAsia="zh-CN"/>
              </w:rPr>
              <w:t>。</w:t>
            </w:r>
          </w:p>
          <w:p w14:paraId="7726B9C5">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rPr>
            </w:pPr>
            <w:r>
              <w:rPr>
                <w:rFonts w:hint="eastAsia" w:eastAsia="黑体" w:cs="宋体"/>
                <w:color w:val="auto"/>
                <w:kern w:val="0"/>
              </w:rPr>
              <w:t>4、</w:t>
            </w:r>
            <w:r>
              <w:rPr>
                <w:rFonts w:hint="default" w:eastAsia="黑体" w:cs="宋体"/>
                <w:color w:val="auto"/>
                <w:kern w:val="0"/>
              </w:rPr>
              <w:t>主要设备及参数</w:t>
            </w:r>
          </w:p>
          <w:p w14:paraId="299D7F00">
            <w:pPr>
              <w:keepNext w:val="0"/>
              <w:keepLines w:val="0"/>
              <w:suppressLineNumbers w:val="0"/>
              <w:spacing w:before="0" w:beforeAutospacing="0" w:after="0" w:afterAutospacing="0" w:line="500" w:lineRule="exact"/>
              <w:ind w:left="0" w:right="0"/>
              <w:jc w:val="center"/>
              <w:rPr>
                <w:rFonts w:hint="default" w:eastAsia="黑体"/>
                <w:color w:val="auto"/>
                <w:sz w:val="18"/>
                <w:szCs w:val="18"/>
              </w:rPr>
            </w:pPr>
          </w:p>
          <w:p w14:paraId="2E2C38F7">
            <w:pPr>
              <w:keepNext w:val="0"/>
              <w:keepLines w:val="0"/>
              <w:suppressLineNumbers w:val="0"/>
              <w:spacing w:before="0" w:beforeAutospacing="0" w:after="0" w:afterAutospacing="0" w:line="500" w:lineRule="exact"/>
              <w:ind w:left="0" w:right="0"/>
              <w:jc w:val="center"/>
              <w:rPr>
                <w:rFonts w:hint="default" w:eastAsia="黑体"/>
                <w:color w:val="auto"/>
                <w:sz w:val="18"/>
                <w:szCs w:val="18"/>
              </w:rPr>
            </w:pPr>
          </w:p>
          <w:p w14:paraId="73AEEA15">
            <w:pPr>
              <w:keepNext w:val="0"/>
              <w:keepLines w:val="0"/>
              <w:suppressLineNumbers w:val="0"/>
              <w:spacing w:before="0" w:beforeAutospacing="0" w:after="0" w:afterAutospacing="0" w:line="500" w:lineRule="exact"/>
              <w:ind w:left="0" w:right="0"/>
              <w:jc w:val="center"/>
              <w:rPr>
                <w:rFonts w:hint="default" w:eastAsia="黑体"/>
                <w:color w:val="auto"/>
                <w:sz w:val="18"/>
                <w:szCs w:val="18"/>
              </w:rPr>
            </w:pPr>
          </w:p>
          <w:p w14:paraId="583DEF1C">
            <w:pPr>
              <w:keepNext w:val="0"/>
              <w:keepLines w:val="0"/>
              <w:suppressLineNumbers w:val="0"/>
              <w:spacing w:before="0" w:beforeAutospacing="0" w:after="0" w:afterAutospacing="0" w:line="5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 xml:space="preserve">2-3 </w:t>
            </w:r>
            <w:r>
              <w:rPr>
                <w:rFonts w:hint="default" w:eastAsia="黑体"/>
                <w:color w:val="auto"/>
                <w:sz w:val="18"/>
                <w:szCs w:val="18"/>
              </w:rPr>
              <w:t xml:space="preserve">  主要设备</w:t>
            </w:r>
            <w:r>
              <w:rPr>
                <w:rFonts w:hint="eastAsia" w:eastAsia="黑体"/>
                <w:color w:val="auto"/>
                <w:sz w:val="18"/>
                <w:szCs w:val="18"/>
              </w:rPr>
              <w:t>一览表</w:t>
            </w:r>
          </w:p>
          <w:tbl>
            <w:tblPr>
              <w:tblStyle w:val="13"/>
              <w:tblW w:w="7337" w:type="dxa"/>
              <w:jc w:val="center"/>
              <w:tblLayout w:type="fixed"/>
              <w:tblCellMar>
                <w:top w:w="0" w:type="dxa"/>
                <w:left w:w="108" w:type="dxa"/>
                <w:bottom w:w="0" w:type="dxa"/>
                <w:right w:w="108" w:type="dxa"/>
              </w:tblCellMar>
            </w:tblPr>
            <w:tblGrid>
              <w:gridCol w:w="815"/>
              <w:gridCol w:w="3014"/>
              <w:gridCol w:w="877"/>
              <w:gridCol w:w="1230"/>
              <w:gridCol w:w="1401"/>
            </w:tblGrid>
            <w:tr w14:paraId="7D3EE084">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433CE129">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default"/>
                      <w:b/>
                      <w:bCs/>
                      <w:color w:val="auto"/>
                      <w:kern w:val="0"/>
                      <w:sz w:val="18"/>
                      <w:szCs w:val="18"/>
                    </w:rPr>
                    <w:t>序号</w:t>
                  </w:r>
                </w:p>
              </w:tc>
              <w:tc>
                <w:tcPr>
                  <w:tcW w:w="3014" w:type="dxa"/>
                  <w:tcBorders>
                    <w:top w:val="single" w:color="auto" w:sz="4" w:space="0"/>
                    <w:left w:val="nil"/>
                    <w:bottom w:val="single" w:color="auto" w:sz="4" w:space="0"/>
                    <w:right w:val="single" w:color="auto" w:sz="4" w:space="0"/>
                  </w:tcBorders>
                  <w:vAlign w:val="center"/>
                </w:tcPr>
                <w:p w14:paraId="6E32CD0B">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default"/>
                      <w:b/>
                      <w:bCs/>
                      <w:color w:val="auto"/>
                      <w:kern w:val="0"/>
                      <w:sz w:val="18"/>
                      <w:szCs w:val="18"/>
                    </w:rPr>
                    <w:t>设备名称</w:t>
                  </w:r>
                </w:p>
              </w:tc>
              <w:tc>
                <w:tcPr>
                  <w:tcW w:w="877" w:type="dxa"/>
                  <w:tcBorders>
                    <w:top w:val="single" w:color="auto" w:sz="4" w:space="0"/>
                    <w:left w:val="nil"/>
                    <w:bottom w:val="single" w:color="auto" w:sz="4" w:space="0"/>
                    <w:right w:val="single" w:color="auto" w:sz="4" w:space="0"/>
                  </w:tcBorders>
                  <w:vAlign w:val="center"/>
                </w:tcPr>
                <w:p w14:paraId="587BA067">
                  <w:pPr>
                    <w:keepNext w:val="0"/>
                    <w:keepLines w:val="0"/>
                    <w:widowControl/>
                    <w:suppressLineNumbers w:val="0"/>
                    <w:spacing w:before="0" w:beforeAutospacing="0" w:after="0" w:afterAutospacing="0" w:line="270" w:lineRule="exact"/>
                    <w:ind w:left="0" w:right="0"/>
                    <w:jc w:val="center"/>
                    <w:rPr>
                      <w:rFonts w:hint="default"/>
                      <w:b/>
                      <w:bCs/>
                      <w:color w:val="auto"/>
                      <w:kern w:val="0"/>
                      <w:sz w:val="18"/>
                      <w:szCs w:val="18"/>
                    </w:rPr>
                  </w:pPr>
                  <w:r>
                    <w:rPr>
                      <w:rFonts w:hint="default"/>
                      <w:b/>
                      <w:bCs/>
                      <w:color w:val="auto"/>
                      <w:kern w:val="0"/>
                      <w:sz w:val="18"/>
                      <w:szCs w:val="18"/>
                    </w:rPr>
                    <w:t>单位</w:t>
                  </w:r>
                </w:p>
              </w:tc>
              <w:tc>
                <w:tcPr>
                  <w:tcW w:w="1230" w:type="dxa"/>
                  <w:tcBorders>
                    <w:top w:val="single" w:color="auto" w:sz="4" w:space="0"/>
                    <w:left w:val="nil"/>
                    <w:bottom w:val="single" w:color="auto" w:sz="4" w:space="0"/>
                    <w:right w:val="single" w:color="auto" w:sz="4" w:space="0"/>
                  </w:tcBorders>
                  <w:vAlign w:val="center"/>
                </w:tcPr>
                <w:p w14:paraId="6D3E67F7">
                  <w:pPr>
                    <w:keepNext w:val="0"/>
                    <w:keepLines w:val="0"/>
                    <w:widowControl/>
                    <w:suppressLineNumbers w:val="0"/>
                    <w:spacing w:before="0" w:beforeAutospacing="0" w:after="0" w:afterAutospacing="0" w:line="270" w:lineRule="exact"/>
                    <w:ind w:left="0" w:right="0"/>
                    <w:jc w:val="center"/>
                    <w:rPr>
                      <w:rFonts w:hint="default"/>
                      <w:b/>
                      <w:bCs/>
                      <w:color w:val="auto"/>
                      <w:kern w:val="0"/>
                      <w:sz w:val="18"/>
                      <w:szCs w:val="18"/>
                    </w:rPr>
                  </w:pPr>
                  <w:r>
                    <w:rPr>
                      <w:rFonts w:hint="default"/>
                      <w:b/>
                      <w:bCs/>
                      <w:color w:val="auto"/>
                      <w:kern w:val="0"/>
                      <w:sz w:val="18"/>
                      <w:szCs w:val="18"/>
                    </w:rPr>
                    <w:t>数量</w:t>
                  </w:r>
                </w:p>
              </w:tc>
              <w:tc>
                <w:tcPr>
                  <w:tcW w:w="1401" w:type="dxa"/>
                  <w:tcBorders>
                    <w:top w:val="single" w:color="auto" w:sz="4" w:space="0"/>
                    <w:left w:val="nil"/>
                    <w:bottom w:val="single" w:color="auto" w:sz="4" w:space="0"/>
                    <w:right w:val="single" w:color="auto" w:sz="4" w:space="0"/>
                  </w:tcBorders>
                  <w:vAlign w:val="center"/>
                </w:tcPr>
                <w:p w14:paraId="79B8388D">
                  <w:pPr>
                    <w:keepNext w:val="0"/>
                    <w:keepLines w:val="0"/>
                    <w:widowControl/>
                    <w:suppressLineNumbers w:val="0"/>
                    <w:spacing w:before="0" w:beforeAutospacing="0" w:after="0" w:afterAutospacing="0" w:line="270" w:lineRule="exact"/>
                    <w:ind w:left="0" w:right="0"/>
                    <w:jc w:val="center"/>
                    <w:rPr>
                      <w:rFonts w:hint="default"/>
                      <w:b/>
                      <w:bCs/>
                      <w:color w:val="auto"/>
                      <w:kern w:val="0"/>
                      <w:sz w:val="18"/>
                      <w:szCs w:val="18"/>
                    </w:rPr>
                  </w:pPr>
                  <w:r>
                    <w:rPr>
                      <w:rFonts w:hint="eastAsia"/>
                      <w:b/>
                      <w:bCs/>
                      <w:color w:val="auto"/>
                      <w:kern w:val="0"/>
                      <w:sz w:val="18"/>
                      <w:szCs w:val="18"/>
                    </w:rPr>
                    <w:t>位置</w:t>
                  </w:r>
                </w:p>
              </w:tc>
            </w:tr>
            <w:tr w14:paraId="5595E808">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54E903DE">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default"/>
                      <w:color w:val="auto"/>
                      <w:kern w:val="0"/>
                      <w:sz w:val="18"/>
                      <w:szCs w:val="18"/>
                    </w:rPr>
                    <w:t>1</w:t>
                  </w:r>
                </w:p>
              </w:tc>
              <w:tc>
                <w:tcPr>
                  <w:tcW w:w="3014" w:type="dxa"/>
                  <w:tcBorders>
                    <w:top w:val="single" w:color="auto" w:sz="4" w:space="0"/>
                    <w:left w:val="nil"/>
                    <w:bottom w:val="single" w:color="auto" w:sz="4" w:space="0"/>
                    <w:right w:val="single" w:color="auto" w:sz="4" w:space="0"/>
                  </w:tcBorders>
                  <w:vAlign w:val="center"/>
                </w:tcPr>
                <w:p w14:paraId="3A732F72">
                  <w:pPr>
                    <w:keepNext w:val="0"/>
                    <w:keepLines w:val="0"/>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心肺复苏仪</w:t>
                  </w:r>
                </w:p>
              </w:tc>
              <w:tc>
                <w:tcPr>
                  <w:tcW w:w="877" w:type="dxa"/>
                  <w:tcBorders>
                    <w:top w:val="single" w:color="auto" w:sz="4" w:space="0"/>
                    <w:left w:val="nil"/>
                    <w:bottom w:val="single" w:color="auto" w:sz="4" w:space="0"/>
                    <w:right w:val="single" w:color="auto" w:sz="4" w:space="0"/>
                  </w:tcBorders>
                  <w:vAlign w:val="center"/>
                </w:tcPr>
                <w:p w14:paraId="629E94ED">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14:paraId="541BD7CA">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1</w:t>
                  </w:r>
                </w:p>
              </w:tc>
              <w:tc>
                <w:tcPr>
                  <w:tcW w:w="1401" w:type="dxa"/>
                  <w:vMerge w:val="restart"/>
                  <w:tcBorders>
                    <w:top w:val="single" w:color="auto" w:sz="4" w:space="0"/>
                    <w:left w:val="nil"/>
                    <w:right w:val="single" w:color="auto" w:sz="4" w:space="0"/>
                  </w:tcBorders>
                  <w:vAlign w:val="center"/>
                </w:tcPr>
                <w:p w14:paraId="129F3FE0">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急救</w:t>
                  </w:r>
                </w:p>
              </w:tc>
            </w:tr>
            <w:tr w14:paraId="77BC98BB">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386BB5BF">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2</w:t>
                  </w:r>
                </w:p>
              </w:tc>
              <w:tc>
                <w:tcPr>
                  <w:tcW w:w="3014" w:type="dxa"/>
                  <w:tcBorders>
                    <w:top w:val="single" w:color="auto" w:sz="4" w:space="0"/>
                    <w:left w:val="nil"/>
                    <w:bottom w:val="single" w:color="auto" w:sz="4" w:space="0"/>
                    <w:right w:val="single" w:color="auto" w:sz="4" w:space="0"/>
                  </w:tcBorders>
                  <w:vAlign w:val="center"/>
                </w:tcPr>
                <w:p w14:paraId="194759FA">
                  <w:pPr>
                    <w:keepNext w:val="0"/>
                    <w:keepLines w:val="0"/>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肺功能仪</w:t>
                  </w:r>
                </w:p>
              </w:tc>
              <w:tc>
                <w:tcPr>
                  <w:tcW w:w="877" w:type="dxa"/>
                  <w:tcBorders>
                    <w:top w:val="single" w:color="auto" w:sz="4" w:space="0"/>
                    <w:left w:val="nil"/>
                    <w:bottom w:val="single" w:color="auto" w:sz="4" w:space="0"/>
                    <w:right w:val="single" w:color="auto" w:sz="4" w:space="0"/>
                  </w:tcBorders>
                  <w:vAlign w:val="center"/>
                </w:tcPr>
                <w:p w14:paraId="28B853C5">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14:paraId="0B70AECE">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1</w:t>
                  </w:r>
                </w:p>
              </w:tc>
              <w:tc>
                <w:tcPr>
                  <w:tcW w:w="1401" w:type="dxa"/>
                  <w:vMerge w:val="continue"/>
                  <w:tcBorders>
                    <w:left w:val="nil"/>
                    <w:right w:val="single" w:color="auto" w:sz="4" w:space="0"/>
                  </w:tcBorders>
                  <w:vAlign w:val="center"/>
                </w:tcPr>
                <w:p w14:paraId="6E89898A">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p>
              </w:tc>
            </w:tr>
            <w:tr w14:paraId="2D5833B8">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59659A1F">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default"/>
                      <w:color w:val="auto"/>
                      <w:kern w:val="0"/>
                      <w:sz w:val="18"/>
                      <w:szCs w:val="18"/>
                    </w:rPr>
                    <w:t>3</w:t>
                  </w:r>
                </w:p>
              </w:tc>
              <w:tc>
                <w:tcPr>
                  <w:tcW w:w="3014" w:type="dxa"/>
                  <w:tcBorders>
                    <w:top w:val="single" w:color="auto" w:sz="4" w:space="0"/>
                    <w:left w:val="nil"/>
                    <w:bottom w:val="single" w:color="auto" w:sz="4" w:space="0"/>
                    <w:right w:val="single" w:color="auto" w:sz="4" w:space="0"/>
                  </w:tcBorders>
                  <w:vAlign w:val="center"/>
                </w:tcPr>
                <w:p w14:paraId="2DF51FB7">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呼吸机</w:t>
                  </w:r>
                </w:p>
              </w:tc>
              <w:tc>
                <w:tcPr>
                  <w:tcW w:w="877" w:type="dxa"/>
                  <w:tcBorders>
                    <w:top w:val="single" w:color="auto" w:sz="4" w:space="0"/>
                    <w:left w:val="nil"/>
                    <w:bottom w:val="single" w:color="auto" w:sz="4" w:space="0"/>
                    <w:right w:val="single" w:color="auto" w:sz="4" w:space="0"/>
                  </w:tcBorders>
                  <w:vAlign w:val="center"/>
                </w:tcPr>
                <w:p w14:paraId="1D934E24">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14:paraId="738534D3">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2</w:t>
                  </w:r>
                </w:p>
              </w:tc>
              <w:tc>
                <w:tcPr>
                  <w:tcW w:w="1401" w:type="dxa"/>
                  <w:vMerge w:val="continue"/>
                  <w:tcBorders>
                    <w:left w:val="nil"/>
                    <w:bottom w:val="single" w:color="auto" w:sz="4" w:space="0"/>
                    <w:right w:val="single" w:color="auto" w:sz="4" w:space="0"/>
                  </w:tcBorders>
                  <w:vAlign w:val="center"/>
                </w:tcPr>
                <w:p w14:paraId="6410D1C6">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p>
              </w:tc>
            </w:tr>
            <w:tr w14:paraId="4ECF35A6">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1BDC79D3">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default"/>
                      <w:color w:val="auto"/>
                      <w:kern w:val="0"/>
                      <w:sz w:val="18"/>
                      <w:szCs w:val="18"/>
                    </w:rPr>
                    <w:t>4</w:t>
                  </w:r>
                </w:p>
              </w:tc>
              <w:tc>
                <w:tcPr>
                  <w:tcW w:w="3014" w:type="dxa"/>
                  <w:tcBorders>
                    <w:top w:val="single" w:color="auto" w:sz="4" w:space="0"/>
                    <w:left w:val="nil"/>
                    <w:bottom w:val="single" w:color="auto" w:sz="4" w:space="0"/>
                    <w:right w:val="single" w:color="auto" w:sz="4" w:space="0"/>
                  </w:tcBorders>
                  <w:vAlign w:val="center"/>
                </w:tcPr>
                <w:p w14:paraId="4DFE4E68">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透析机</w:t>
                  </w:r>
                </w:p>
              </w:tc>
              <w:tc>
                <w:tcPr>
                  <w:tcW w:w="877" w:type="dxa"/>
                  <w:tcBorders>
                    <w:top w:val="single" w:color="auto" w:sz="4" w:space="0"/>
                    <w:left w:val="nil"/>
                    <w:bottom w:val="single" w:color="auto" w:sz="4" w:space="0"/>
                    <w:right w:val="single" w:color="auto" w:sz="4" w:space="0"/>
                  </w:tcBorders>
                  <w:vAlign w:val="center"/>
                </w:tcPr>
                <w:p w14:paraId="45DD840B">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14:paraId="42230B8D">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28</w:t>
                  </w:r>
                </w:p>
              </w:tc>
              <w:tc>
                <w:tcPr>
                  <w:tcW w:w="1401" w:type="dxa"/>
                  <w:vMerge w:val="restart"/>
                  <w:tcBorders>
                    <w:top w:val="single" w:color="auto" w:sz="4" w:space="0"/>
                    <w:left w:val="nil"/>
                    <w:right w:val="single" w:color="auto" w:sz="4" w:space="0"/>
                  </w:tcBorders>
                  <w:vAlign w:val="center"/>
                </w:tcPr>
                <w:p w14:paraId="585C2A00">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血透</w:t>
                  </w:r>
                </w:p>
              </w:tc>
            </w:tr>
            <w:tr w14:paraId="23A367C4">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3C7CDE59">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default"/>
                      <w:color w:val="auto"/>
                      <w:kern w:val="0"/>
                      <w:sz w:val="18"/>
                      <w:szCs w:val="18"/>
                    </w:rPr>
                    <w:t>5</w:t>
                  </w:r>
                </w:p>
              </w:tc>
              <w:tc>
                <w:tcPr>
                  <w:tcW w:w="3014" w:type="dxa"/>
                  <w:tcBorders>
                    <w:top w:val="single" w:color="auto" w:sz="4" w:space="0"/>
                    <w:left w:val="nil"/>
                    <w:bottom w:val="single" w:color="auto" w:sz="4" w:space="0"/>
                    <w:right w:val="single" w:color="auto" w:sz="4" w:space="0"/>
                  </w:tcBorders>
                  <w:vAlign w:val="center"/>
                </w:tcPr>
                <w:p w14:paraId="0A3A2245">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血透制水设备</w:t>
                  </w:r>
                </w:p>
              </w:tc>
              <w:tc>
                <w:tcPr>
                  <w:tcW w:w="877" w:type="dxa"/>
                  <w:tcBorders>
                    <w:top w:val="single" w:color="auto" w:sz="4" w:space="0"/>
                    <w:left w:val="nil"/>
                    <w:bottom w:val="single" w:color="auto" w:sz="4" w:space="0"/>
                    <w:right w:val="single" w:color="auto" w:sz="4" w:space="0"/>
                  </w:tcBorders>
                  <w:vAlign w:val="center"/>
                </w:tcPr>
                <w:p w14:paraId="09392FB4">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14:paraId="058DDA6B">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w:t>
                  </w:r>
                </w:p>
              </w:tc>
              <w:tc>
                <w:tcPr>
                  <w:tcW w:w="1401" w:type="dxa"/>
                  <w:vMerge w:val="continue"/>
                  <w:tcBorders>
                    <w:left w:val="nil"/>
                    <w:bottom w:val="single" w:color="auto" w:sz="4" w:space="0"/>
                    <w:right w:val="single" w:color="auto" w:sz="4" w:space="0"/>
                  </w:tcBorders>
                  <w:vAlign w:val="center"/>
                </w:tcPr>
                <w:p w14:paraId="66E9D376">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p>
              </w:tc>
            </w:tr>
            <w:tr w14:paraId="0D92DED7">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1ACA0441">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6</w:t>
                  </w:r>
                </w:p>
              </w:tc>
              <w:tc>
                <w:tcPr>
                  <w:tcW w:w="3014" w:type="dxa"/>
                  <w:tcBorders>
                    <w:top w:val="single" w:color="auto" w:sz="4" w:space="0"/>
                    <w:left w:val="nil"/>
                    <w:bottom w:val="single" w:color="auto" w:sz="4" w:space="0"/>
                    <w:right w:val="single" w:color="auto" w:sz="4" w:space="0"/>
                  </w:tcBorders>
                  <w:vAlign w:val="center"/>
                </w:tcPr>
                <w:p w14:paraId="7212F6EB">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胃镜</w:t>
                  </w:r>
                </w:p>
              </w:tc>
              <w:tc>
                <w:tcPr>
                  <w:tcW w:w="877" w:type="dxa"/>
                  <w:tcBorders>
                    <w:top w:val="single" w:color="auto" w:sz="4" w:space="0"/>
                    <w:left w:val="nil"/>
                    <w:bottom w:val="single" w:color="auto" w:sz="4" w:space="0"/>
                    <w:right w:val="single" w:color="auto" w:sz="4" w:space="0"/>
                  </w:tcBorders>
                  <w:vAlign w:val="center"/>
                </w:tcPr>
                <w:p w14:paraId="1C789D06">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14:paraId="40078EB9">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w:t>
                  </w:r>
                </w:p>
              </w:tc>
              <w:tc>
                <w:tcPr>
                  <w:tcW w:w="1401" w:type="dxa"/>
                  <w:vMerge w:val="restart"/>
                  <w:tcBorders>
                    <w:top w:val="single" w:color="auto" w:sz="4" w:space="0"/>
                    <w:left w:val="nil"/>
                    <w:right w:val="single" w:color="auto" w:sz="4" w:space="0"/>
                  </w:tcBorders>
                  <w:vAlign w:val="center"/>
                </w:tcPr>
                <w:p w14:paraId="76CEDA71">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内科</w:t>
                  </w:r>
                </w:p>
              </w:tc>
            </w:tr>
            <w:tr w14:paraId="1BE2EB4D">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0D48B420">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13</w:t>
                  </w:r>
                </w:p>
              </w:tc>
              <w:tc>
                <w:tcPr>
                  <w:tcW w:w="3014" w:type="dxa"/>
                  <w:tcBorders>
                    <w:top w:val="single" w:color="auto" w:sz="4" w:space="0"/>
                    <w:left w:val="nil"/>
                    <w:bottom w:val="single" w:color="auto" w:sz="4" w:space="0"/>
                    <w:right w:val="single" w:color="auto" w:sz="4" w:space="0"/>
                  </w:tcBorders>
                  <w:vAlign w:val="center"/>
                </w:tcPr>
                <w:p w14:paraId="3B4F3235">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肠镜</w:t>
                  </w:r>
                </w:p>
              </w:tc>
              <w:tc>
                <w:tcPr>
                  <w:tcW w:w="877" w:type="dxa"/>
                  <w:tcBorders>
                    <w:top w:val="single" w:color="auto" w:sz="4" w:space="0"/>
                    <w:left w:val="nil"/>
                    <w:bottom w:val="single" w:color="auto" w:sz="4" w:space="0"/>
                    <w:right w:val="single" w:color="auto" w:sz="4" w:space="0"/>
                  </w:tcBorders>
                  <w:vAlign w:val="center"/>
                </w:tcPr>
                <w:p w14:paraId="40A0EB14">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14:paraId="20C17FD4">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1</w:t>
                  </w:r>
                </w:p>
              </w:tc>
              <w:tc>
                <w:tcPr>
                  <w:tcW w:w="1401" w:type="dxa"/>
                  <w:vMerge w:val="continue"/>
                  <w:tcBorders>
                    <w:left w:val="nil"/>
                    <w:right w:val="single" w:color="auto" w:sz="4" w:space="0"/>
                  </w:tcBorders>
                  <w:vAlign w:val="center"/>
                </w:tcPr>
                <w:p w14:paraId="35D5F2B5">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p>
              </w:tc>
            </w:tr>
            <w:tr w14:paraId="2C010F7F">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63106697">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14</w:t>
                  </w:r>
                </w:p>
              </w:tc>
              <w:tc>
                <w:tcPr>
                  <w:tcW w:w="3014" w:type="dxa"/>
                  <w:tcBorders>
                    <w:top w:val="single" w:color="auto" w:sz="4" w:space="0"/>
                    <w:left w:val="nil"/>
                    <w:bottom w:val="single" w:color="auto" w:sz="4" w:space="0"/>
                    <w:right w:val="single" w:color="auto" w:sz="4" w:space="0"/>
                  </w:tcBorders>
                  <w:vAlign w:val="center"/>
                </w:tcPr>
                <w:p w14:paraId="70EF5AE4">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气管镜</w:t>
                  </w:r>
                </w:p>
              </w:tc>
              <w:tc>
                <w:tcPr>
                  <w:tcW w:w="877" w:type="dxa"/>
                  <w:tcBorders>
                    <w:top w:val="single" w:color="auto" w:sz="4" w:space="0"/>
                    <w:left w:val="nil"/>
                    <w:bottom w:val="single" w:color="auto" w:sz="4" w:space="0"/>
                    <w:right w:val="single" w:color="auto" w:sz="4" w:space="0"/>
                  </w:tcBorders>
                  <w:vAlign w:val="center"/>
                </w:tcPr>
                <w:p w14:paraId="3F7B16B2">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14:paraId="31E7D5B3">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w:t>
                  </w:r>
                </w:p>
              </w:tc>
              <w:tc>
                <w:tcPr>
                  <w:tcW w:w="1401" w:type="dxa"/>
                  <w:vMerge w:val="continue"/>
                  <w:tcBorders>
                    <w:left w:val="nil"/>
                    <w:bottom w:val="single" w:color="auto" w:sz="4" w:space="0"/>
                    <w:right w:val="single" w:color="auto" w:sz="4" w:space="0"/>
                  </w:tcBorders>
                  <w:vAlign w:val="center"/>
                </w:tcPr>
                <w:p w14:paraId="6950FEEA">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p>
              </w:tc>
            </w:tr>
            <w:tr w14:paraId="1FCAC26F">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0D65BB41">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15</w:t>
                  </w:r>
                </w:p>
              </w:tc>
              <w:tc>
                <w:tcPr>
                  <w:tcW w:w="3014" w:type="dxa"/>
                  <w:tcBorders>
                    <w:top w:val="single" w:color="auto" w:sz="4" w:space="0"/>
                    <w:left w:val="nil"/>
                    <w:bottom w:val="single" w:color="auto" w:sz="4" w:space="0"/>
                    <w:right w:val="single" w:color="auto" w:sz="4" w:space="0"/>
                  </w:tcBorders>
                  <w:vAlign w:val="center"/>
                </w:tcPr>
                <w:p w14:paraId="61E1DB8B">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脑电图机</w:t>
                  </w:r>
                </w:p>
              </w:tc>
              <w:tc>
                <w:tcPr>
                  <w:tcW w:w="877" w:type="dxa"/>
                  <w:tcBorders>
                    <w:top w:val="single" w:color="auto" w:sz="4" w:space="0"/>
                    <w:left w:val="nil"/>
                    <w:bottom w:val="single" w:color="auto" w:sz="4" w:space="0"/>
                    <w:right w:val="single" w:color="auto" w:sz="4" w:space="0"/>
                  </w:tcBorders>
                  <w:vAlign w:val="center"/>
                </w:tcPr>
                <w:p w14:paraId="70650C2E">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14:paraId="52134C36">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w:t>
                  </w:r>
                </w:p>
              </w:tc>
              <w:tc>
                <w:tcPr>
                  <w:tcW w:w="1401" w:type="dxa"/>
                  <w:vMerge w:val="restart"/>
                  <w:tcBorders>
                    <w:top w:val="single" w:color="auto" w:sz="4" w:space="0"/>
                    <w:left w:val="nil"/>
                    <w:right w:val="single" w:color="auto" w:sz="4" w:space="0"/>
                  </w:tcBorders>
                  <w:vAlign w:val="center"/>
                </w:tcPr>
                <w:p w14:paraId="0A773552">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功能科</w:t>
                  </w:r>
                </w:p>
              </w:tc>
            </w:tr>
            <w:tr w14:paraId="027B91FB">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101F1B12">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default"/>
                      <w:color w:val="auto"/>
                      <w:sz w:val="18"/>
                      <w:szCs w:val="18"/>
                    </w:rPr>
                    <w:t>16</w:t>
                  </w:r>
                </w:p>
              </w:tc>
              <w:tc>
                <w:tcPr>
                  <w:tcW w:w="3014" w:type="dxa"/>
                  <w:tcBorders>
                    <w:top w:val="single" w:color="auto" w:sz="4" w:space="0"/>
                    <w:left w:val="nil"/>
                    <w:bottom w:val="single" w:color="auto" w:sz="4" w:space="0"/>
                    <w:right w:val="single" w:color="auto" w:sz="4" w:space="0"/>
                  </w:tcBorders>
                  <w:vAlign w:val="center"/>
                </w:tcPr>
                <w:p w14:paraId="4A8DE8AB">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心电图机</w:t>
                  </w:r>
                </w:p>
              </w:tc>
              <w:tc>
                <w:tcPr>
                  <w:tcW w:w="877" w:type="dxa"/>
                  <w:tcBorders>
                    <w:top w:val="single" w:color="auto" w:sz="4" w:space="0"/>
                    <w:left w:val="nil"/>
                    <w:bottom w:val="single" w:color="auto" w:sz="4" w:space="0"/>
                    <w:right w:val="single" w:color="auto" w:sz="4" w:space="0"/>
                  </w:tcBorders>
                  <w:vAlign w:val="center"/>
                </w:tcPr>
                <w:p w14:paraId="31BD972A">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14:paraId="0C008334">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w:t>
                  </w:r>
                </w:p>
              </w:tc>
              <w:tc>
                <w:tcPr>
                  <w:tcW w:w="1401" w:type="dxa"/>
                  <w:vMerge w:val="continue"/>
                  <w:tcBorders>
                    <w:left w:val="nil"/>
                    <w:right w:val="single" w:color="auto" w:sz="4" w:space="0"/>
                  </w:tcBorders>
                  <w:vAlign w:val="center"/>
                </w:tcPr>
                <w:p w14:paraId="4CAEF71A">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p>
              </w:tc>
            </w:tr>
            <w:tr w14:paraId="54174877">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571D610B">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default"/>
                      <w:color w:val="auto"/>
                      <w:sz w:val="18"/>
                      <w:szCs w:val="18"/>
                    </w:rPr>
                    <w:t>17</w:t>
                  </w:r>
                </w:p>
              </w:tc>
              <w:tc>
                <w:tcPr>
                  <w:tcW w:w="3014" w:type="dxa"/>
                  <w:tcBorders>
                    <w:top w:val="single" w:color="auto" w:sz="4" w:space="0"/>
                    <w:left w:val="nil"/>
                    <w:bottom w:val="single" w:color="auto" w:sz="4" w:space="0"/>
                    <w:right w:val="single" w:color="auto" w:sz="4" w:space="0"/>
                  </w:tcBorders>
                  <w:vAlign w:val="center"/>
                </w:tcPr>
                <w:p w14:paraId="2A19069B">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彩色多普勒超声诊断仪</w:t>
                  </w:r>
                </w:p>
              </w:tc>
              <w:tc>
                <w:tcPr>
                  <w:tcW w:w="877" w:type="dxa"/>
                  <w:tcBorders>
                    <w:top w:val="single" w:color="auto" w:sz="4" w:space="0"/>
                    <w:left w:val="nil"/>
                    <w:bottom w:val="single" w:color="auto" w:sz="4" w:space="0"/>
                    <w:right w:val="single" w:color="auto" w:sz="4" w:space="0"/>
                  </w:tcBorders>
                  <w:vAlign w:val="center"/>
                </w:tcPr>
                <w:p w14:paraId="7F7C4F3A">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14:paraId="26FE5519">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2</w:t>
                  </w:r>
                </w:p>
              </w:tc>
              <w:tc>
                <w:tcPr>
                  <w:tcW w:w="1401" w:type="dxa"/>
                  <w:vMerge w:val="continue"/>
                  <w:tcBorders>
                    <w:left w:val="nil"/>
                    <w:bottom w:val="single" w:color="auto" w:sz="4" w:space="0"/>
                    <w:right w:val="single" w:color="auto" w:sz="4" w:space="0"/>
                  </w:tcBorders>
                  <w:vAlign w:val="center"/>
                </w:tcPr>
                <w:p w14:paraId="6B00D267">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p>
              </w:tc>
            </w:tr>
            <w:tr w14:paraId="512F9BD4">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5DC520A7">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18</w:t>
                  </w:r>
                </w:p>
              </w:tc>
              <w:tc>
                <w:tcPr>
                  <w:tcW w:w="3014" w:type="dxa"/>
                  <w:tcBorders>
                    <w:top w:val="single" w:color="auto" w:sz="4" w:space="0"/>
                    <w:left w:val="nil"/>
                    <w:bottom w:val="single" w:color="auto" w:sz="4" w:space="0"/>
                    <w:right w:val="single" w:color="auto" w:sz="4" w:space="0"/>
                  </w:tcBorders>
                  <w:vAlign w:val="center"/>
                </w:tcPr>
                <w:p w14:paraId="6F11069A">
                  <w:pPr>
                    <w:keepNext w:val="0"/>
                    <w:keepLines w:val="0"/>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CT机</w:t>
                  </w:r>
                </w:p>
              </w:tc>
              <w:tc>
                <w:tcPr>
                  <w:tcW w:w="877" w:type="dxa"/>
                  <w:tcBorders>
                    <w:top w:val="single" w:color="auto" w:sz="4" w:space="0"/>
                    <w:left w:val="nil"/>
                    <w:bottom w:val="single" w:color="auto" w:sz="4" w:space="0"/>
                    <w:right w:val="single" w:color="auto" w:sz="4" w:space="0"/>
                  </w:tcBorders>
                  <w:vAlign w:val="center"/>
                </w:tcPr>
                <w:p w14:paraId="79292F94">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14:paraId="4687B9D1">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1</w:t>
                  </w:r>
                </w:p>
              </w:tc>
              <w:tc>
                <w:tcPr>
                  <w:tcW w:w="1401" w:type="dxa"/>
                  <w:vMerge w:val="restart"/>
                  <w:tcBorders>
                    <w:top w:val="single" w:color="auto" w:sz="4" w:space="0"/>
                    <w:left w:val="nil"/>
                    <w:right w:val="single" w:color="auto" w:sz="4" w:space="0"/>
                  </w:tcBorders>
                  <w:vAlign w:val="center"/>
                </w:tcPr>
                <w:p w14:paraId="6D138C60">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放射科</w:t>
                  </w:r>
                </w:p>
              </w:tc>
            </w:tr>
            <w:tr w14:paraId="269A90BD">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252F921C">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19</w:t>
                  </w:r>
                </w:p>
              </w:tc>
              <w:tc>
                <w:tcPr>
                  <w:tcW w:w="3014" w:type="dxa"/>
                  <w:tcBorders>
                    <w:top w:val="single" w:color="auto" w:sz="4" w:space="0"/>
                    <w:left w:val="nil"/>
                    <w:bottom w:val="single" w:color="auto" w:sz="4" w:space="0"/>
                    <w:right w:val="single" w:color="auto" w:sz="4" w:space="0"/>
                  </w:tcBorders>
                  <w:vAlign w:val="center"/>
                </w:tcPr>
                <w:p w14:paraId="19ACEA33">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DR机</w:t>
                  </w:r>
                </w:p>
              </w:tc>
              <w:tc>
                <w:tcPr>
                  <w:tcW w:w="877" w:type="dxa"/>
                  <w:tcBorders>
                    <w:top w:val="single" w:color="auto" w:sz="4" w:space="0"/>
                    <w:left w:val="nil"/>
                    <w:bottom w:val="single" w:color="auto" w:sz="4" w:space="0"/>
                    <w:right w:val="single" w:color="auto" w:sz="4" w:space="0"/>
                  </w:tcBorders>
                  <w:vAlign w:val="center"/>
                </w:tcPr>
                <w:p w14:paraId="6AC4924D">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14:paraId="567AA481">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1</w:t>
                  </w:r>
                </w:p>
              </w:tc>
              <w:tc>
                <w:tcPr>
                  <w:tcW w:w="1401" w:type="dxa"/>
                  <w:vMerge w:val="continue"/>
                  <w:tcBorders>
                    <w:left w:val="nil"/>
                    <w:right w:val="single" w:color="auto" w:sz="4" w:space="0"/>
                  </w:tcBorders>
                  <w:vAlign w:val="center"/>
                </w:tcPr>
                <w:p w14:paraId="10F837FF">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p>
              </w:tc>
            </w:tr>
            <w:tr w14:paraId="43E343D4">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31FDE5F6">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20</w:t>
                  </w:r>
                </w:p>
              </w:tc>
              <w:tc>
                <w:tcPr>
                  <w:tcW w:w="3014" w:type="dxa"/>
                  <w:tcBorders>
                    <w:top w:val="single" w:color="auto" w:sz="4" w:space="0"/>
                    <w:left w:val="nil"/>
                    <w:bottom w:val="single" w:color="auto" w:sz="4" w:space="0"/>
                    <w:right w:val="single" w:color="auto" w:sz="4" w:space="0"/>
                  </w:tcBorders>
                  <w:vAlign w:val="center"/>
                </w:tcPr>
                <w:p w14:paraId="20CA8804">
                  <w:pPr>
                    <w:keepNext w:val="0"/>
                    <w:keepLines w:val="0"/>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X射线机</w:t>
                  </w:r>
                </w:p>
              </w:tc>
              <w:tc>
                <w:tcPr>
                  <w:tcW w:w="877" w:type="dxa"/>
                  <w:tcBorders>
                    <w:top w:val="single" w:color="auto" w:sz="4" w:space="0"/>
                    <w:left w:val="nil"/>
                    <w:bottom w:val="single" w:color="auto" w:sz="4" w:space="0"/>
                    <w:right w:val="single" w:color="auto" w:sz="4" w:space="0"/>
                  </w:tcBorders>
                  <w:vAlign w:val="center"/>
                </w:tcPr>
                <w:p w14:paraId="7DAA5699">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套</w:t>
                  </w:r>
                </w:p>
              </w:tc>
              <w:tc>
                <w:tcPr>
                  <w:tcW w:w="1230" w:type="dxa"/>
                  <w:tcBorders>
                    <w:top w:val="single" w:color="auto" w:sz="4" w:space="0"/>
                    <w:left w:val="nil"/>
                    <w:bottom w:val="single" w:color="auto" w:sz="4" w:space="0"/>
                    <w:right w:val="single" w:color="auto" w:sz="4" w:space="0"/>
                  </w:tcBorders>
                  <w:vAlign w:val="center"/>
                </w:tcPr>
                <w:p w14:paraId="4535E711">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1</w:t>
                  </w:r>
                </w:p>
              </w:tc>
              <w:tc>
                <w:tcPr>
                  <w:tcW w:w="1401" w:type="dxa"/>
                  <w:vMerge w:val="continue"/>
                  <w:tcBorders>
                    <w:left w:val="nil"/>
                    <w:bottom w:val="single" w:color="auto" w:sz="4" w:space="0"/>
                    <w:right w:val="single" w:color="auto" w:sz="4" w:space="0"/>
                  </w:tcBorders>
                  <w:vAlign w:val="center"/>
                </w:tcPr>
                <w:p w14:paraId="0CEA249E">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p>
              </w:tc>
            </w:tr>
            <w:tr w14:paraId="1AFA1592">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07326C92">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21</w:t>
                  </w:r>
                </w:p>
              </w:tc>
              <w:tc>
                <w:tcPr>
                  <w:tcW w:w="3014" w:type="dxa"/>
                  <w:tcBorders>
                    <w:top w:val="single" w:color="auto" w:sz="4" w:space="0"/>
                    <w:left w:val="nil"/>
                    <w:bottom w:val="single" w:color="auto" w:sz="4" w:space="0"/>
                    <w:right w:val="single" w:color="auto" w:sz="4" w:space="0"/>
                  </w:tcBorders>
                  <w:vAlign w:val="center"/>
                </w:tcPr>
                <w:p w14:paraId="14A3EF2C">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实验台、生物安全柜</w:t>
                  </w:r>
                </w:p>
              </w:tc>
              <w:tc>
                <w:tcPr>
                  <w:tcW w:w="877" w:type="dxa"/>
                  <w:tcBorders>
                    <w:top w:val="single" w:color="auto" w:sz="4" w:space="0"/>
                    <w:left w:val="nil"/>
                    <w:bottom w:val="single" w:color="auto" w:sz="4" w:space="0"/>
                    <w:right w:val="single" w:color="auto" w:sz="4" w:space="0"/>
                  </w:tcBorders>
                  <w:vAlign w:val="center"/>
                </w:tcPr>
                <w:p w14:paraId="2E188A95">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14:paraId="2B1194B2">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w:t>
                  </w:r>
                </w:p>
              </w:tc>
              <w:tc>
                <w:tcPr>
                  <w:tcW w:w="1401" w:type="dxa"/>
                  <w:tcBorders>
                    <w:top w:val="single" w:color="auto" w:sz="4" w:space="0"/>
                    <w:left w:val="nil"/>
                    <w:bottom w:val="single" w:color="auto" w:sz="4" w:space="0"/>
                    <w:right w:val="single" w:color="auto" w:sz="4" w:space="0"/>
                  </w:tcBorders>
                  <w:vAlign w:val="center"/>
                </w:tcPr>
                <w:p w14:paraId="4D362067">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检验科</w:t>
                  </w:r>
                </w:p>
              </w:tc>
            </w:tr>
            <w:tr w14:paraId="66864AA8">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1B3D4532">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22</w:t>
                  </w:r>
                </w:p>
              </w:tc>
              <w:tc>
                <w:tcPr>
                  <w:tcW w:w="3014" w:type="dxa"/>
                  <w:tcBorders>
                    <w:top w:val="single" w:color="auto" w:sz="4" w:space="0"/>
                    <w:left w:val="nil"/>
                    <w:bottom w:val="single" w:color="auto" w:sz="4" w:space="0"/>
                    <w:right w:val="single" w:color="auto" w:sz="4" w:space="0"/>
                  </w:tcBorders>
                  <w:vAlign w:val="center"/>
                </w:tcPr>
                <w:p w14:paraId="32590DB3">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包装机</w:t>
                  </w:r>
                </w:p>
              </w:tc>
              <w:tc>
                <w:tcPr>
                  <w:tcW w:w="877" w:type="dxa"/>
                  <w:tcBorders>
                    <w:top w:val="single" w:color="auto" w:sz="4" w:space="0"/>
                    <w:left w:val="nil"/>
                    <w:bottom w:val="single" w:color="auto" w:sz="4" w:space="0"/>
                    <w:right w:val="single" w:color="auto" w:sz="4" w:space="0"/>
                  </w:tcBorders>
                  <w:vAlign w:val="center"/>
                </w:tcPr>
                <w:p w14:paraId="5C1559EB">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14:paraId="6D5A86CA">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w:t>
                  </w:r>
                </w:p>
              </w:tc>
              <w:tc>
                <w:tcPr>
                  <w:tcW w:w="1401" w:type="dxa"/>
                  <w:vMerge w:val="restart"/>
                  <w:tcBorders>
                    <w:top w:val="single" w:color="auto" w:sz="4" w:space="0"/>
                    <w:left w:val="nil"/>
                    <w:right w:val="single" w:color="auto" w:sz="4" w:space="0"/>
                  </w:tcBorders>
                  <w:vAlign w:val="center"/>
                </w:tcPr>
                <w:p w14:paraId="3899F6EE">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检验室</w:t>
                  </w:r>
                </w:p>
              </w:tc>
            </w:tr>
            <w:tr w14:paraId="1819BE65">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4AAF8427">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23</w:t>
                  </w:r>
                </w:p>
              </w:tc>
              <w:tc>
                <w:tcPr>
                  <w:tcW w:w="3014" w:type="dxa"/>
                  <w:tcBorders>
                    <w:top w:val="single" w:color="auto" w:sz="4" w:space="0"/>
                    <w:left w:val="nil"/>
                    <w:bottom w:val="single" w:color="auto" w:sz="4" w:space="0"/>
                    <w:right w:val="single" w:color="auto" w:sz="4" w:space="0"/>
                  </w:tcBorders>
                  <w:vAlign w:val="center"/>
                </w:tcPr>
                <w:p w14:paraId="659C3F28">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煎药机</w:t>
                  </w:r>
                </w:p>
              </w:tc>
              <w:tc>
                <w:tcPr>
                  <w:tcW w:w="877" w:type="dxa"/>
                  <w:tcBorders>
                    <w:top w:val="single" w:color="auto" w:sz="4" w:space="0"/>
                    <w:left w:val="nil"/>
                    <w:bottom w:val="single" w:color="auto" w:sz="4" w:space="0"/>
                    <w:right w:val="single" w:color="auto" w:sz="4" w:space="0"/>
                  </w:tcBorders>
                  <w:vAlign w:val="center"/>
                </w:tcPr>
                <w:p w14:paraId="1CDF4E88">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14:paraId="59EE52BF">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10</w:t>
                  </w:r>
                </w:p>
              </w:tc>
              <w:tc>
                <w:tcPr>
                  <w:tcW w:w="1401" w:type="dxa"/>
                  <w:vMerge w:val="continue"/>
                  <w:tcBorders>
                    <w:left w:val="nil"/>
                    <w:bottom w:val="single" w:color="auto" w:sz="4" w:space="0"/>
                    <w:right w:val="single" w:color="auto" w:sz="4" w:space="0"/>
                  </w:tcBorders>
                  <w:vAlign w:val="center"/>
                </w:tcPr>
                <w:p w14:paraId="3180FC0E">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p>
              </w:tc>
            </w:tr>
            <w:tr w14:paraId="29ACF379">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041E7D36">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24</w:t>
                  </w:r>
                </w:p>
              </w:tc>
              <w:tc>
                <w:tcPr>
                  <w:tcW w:w="3014" w:type="dxa"/>
                  <w:tcBorders>
                    <w:top w:val="single" w:color="auto" w:sz="4" w:space="0"/>
                    <w:left w:val="nil"/>
                    <w:bottom w:val="single" w:color="auto" w:sz="4" w:space="0"/>
                    <w:right w:val="single" w:color="auto" w:sz="4" w:space="0"/>
                  </w:tcBorders>
                  <w:vAlign w:val="center"/>
                </w:tcPr>
                <w:p w14:paraId="5EED6B20">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风机</w:t>
                  </w:r>
                </w:p>
              </w:tc>
              <w:tc>
                <w:tcPr>
                  <w:tcW w:w="877" w:type="dxa"/>
                  <w:tcBorders>
                    <w:top w:val="single" w:color="auto" w:sz="4" w:space="0"/>
                    <w:left w:val="nil"/>
                    <w:bottom w:val="single" w:color="auto" w:sz="4" w:space="0"/>
                    <w:right w:val="single" w:color="auto" w:sz="4" w:space="0"/>
                  </w:tcBorders>
                  <w:vAlign w:val="center"/>
                </w:tcPr>
                <w:p w14:paraId="0B17CD1F">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14:paraId="6E49F6D5">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2</w:t>
                  </w:r>
                </w:p>
              </w:tc>
              <w:tc>
                <w:tcPr>
                  <w:tcW w:w="1401" w:type="dxa"/>
                  <w:tcBorders>
                    <w:top w:val="single" w:color="auto" w:sz="4" w:space="0"/>
                    <w:left w:val="nil"/>
                    <w:bottom w:val="single" w:color="auto" w:sz="4" w:space="0"/>
                    <w:right w:val="single" w:color="auto" w:sz="4" w:space="0"/>
                  </w:tcBorders>
                  <w:vAlign w:val="center"/>
                </w:tcPr>
                <w:p w14:paraId="593205D7">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w:t>
                  </w:r>
                </w:p>
              </w:tc>
            </w:tr>
            <w:tr w14:paraId="4F9439D0">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08E16A10">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25</w:t>
                  </w:r>
                </w:p>
              </w:tc>
              <w:tc>
                <w:tcPr>
                  <w:tcW w:w="3014" w:type="dxa"/>
                  <w:tcBorders>
                    <w:top w:val="single" w:color="auto" w:sz="4" w:space="0"/>
                    <w:left w:val="nil"/>
                    <w:bottom w:val="single" w:color="auto" w:sz="4" w:space="0"/>
                    <w:right w:val="single" w:color="auto" w:sz="4" w:space="0"/>
                  </w:tcBorders>
                  <w:vAlign w:val="center"/>
                </w:tcPr>
                <w:p w14:paraId="6665B614">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污水处理站</w:t>
                  </w:r>
                </w:p>
              </w:tc>
              <w:tc>
                <w:tcPr>
                  <w:tcW w:w="877" w:type="dxa"/>
                  <w:tcBorders>
                    <w:top w:val="single" w:color="auto" w:sz="4" w:space="0"/>
                    <w:left w:val="nil"/>
                    <w:bottom w:val="single" w:color="auto" w:sz="4" w:space="0"/>
                    <w:right w:val="single" w:color="auto" w:sz="4" w:space="0"/>
                  </w:tcBorders>
                  <w:vAlign w:val="center"/>
                </w:tcPr>
                <w:p w14:paraId="6DA453DA">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个</w:t>
                  </w:r>
                </w:p>
              </w:tc>
              <w:tc>
                <w:tcPr>
                  <w:tcW w:w="1230" w:type="dxa"/>
                  <w:tcBorders>
                    <w:top w:val="single" w:color="auto" w:sz="4" w:space="0"/>
                    <w:left w:val="nil"/>
                    <w:bottom w:val="single" w:color="auto" w:sz="4" w:space="0"/>
                    <w:right w:val="single" w:color="auto" w:sz="4" w:space="0"/>
                  </w:tcBorders>
                  <w:vAlign w:val="center"/>
                </w:tcPr>
                <w:p w14:paraId="3C6103CF">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w:t>
                  </w:r>
                </w:p>
              </w:tc>
              <w:tc>
                <w:tcPr>
                  <w:tcW w:w="1401" w:type="dxa"/>
                  <w:tcBorders>
                    <w:top w:val="single" w:color="auto" w:sz="4" w:space="0"/>
                    <w:left w:val="nil"/>
                    <w:bottom w:val="single" w:color="auto" w:sz="4" w:space="0"/>
                    <w:right w:val="single" w:color="auto" w:sz="4" w:space="0"/>
                  </w:tcBorders>
                  <w:vAlign w:val="center"/>
                </w:tcPr>
                <w:p w14:paraId="415E1558">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w:t>
                  </w:r>
                </w:p>
              </w:tc>
            </w:tr>
            <w:tr w14:paraId="2B7B29AC">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2C726512">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26</w:t>
                  </w:r>
                </w:p>
              </w:tc>
              <w:tc>
                <w:tcPr>
                  <w:tcW w:w="3014" w:type="dxa"/>
                  <w:tcBorders>
                    <w:top w:val="single" w:color="auto" w:sz="4" w:space="0"/>
                    <w:left w:val="nil"/>
                    <w:bottom w:val="single" w:color="auto" w:sz="4" w:space="0"/>
                    <w:right w:val="single" w:color="auto" w:sz="4" w:space="0"/>
                  </w:tcBorders>
                  <w:vAlign w:val="center"/>
                </w:tcPr>
                <w:p w14:paraId="1166CA14">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活性炭净化装置</w:t>
                  </w:r>
                </w:p>
              </w:tc>
              <w:tc>
                <w:tcPr>
                  <w:tcW w:w="877" w:type="dxa"/>
                  <w:tcBorders>
                    <w:top w:val="single" w:color="auto" w:sz="4" w:space="0"/>
                    <w:left w:val="nil"/>
                    <w:bottom w:val="single" w:color="auto" w:sz="4" w:space="0"/>
                    <w:right w:val="single" w:color="auto" w:sz="4" w:space="0"/>
                  </w:tcBorders>
                  <w:vAlign w:val="center"/>
                </w:tcPr>
                <w:p w14:paraId="3F24F084">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default"/>
                      <w:color w:val="auto"/>
                      <w:kern w:val="0"/>
                      <w:sz w:val="18"/>
                      <w:szCs w:val="18"/>
                    </w:rPr>
                    <w:t>台</w:t>
                  </w:r>
                </w:p>
              </w:tc>
              <w:tc>
                <w:tcPr>
                  <w:tcW w:w="1230" w:type="dxa"/>
                  <w:tcBorders>
                    <w:top w:val="single" w:color="auto" w:sz="4" w:space="0"/>
                    <w:left w:val="nil"/>
                    <w:bottom w:val="single" w:color="auto" w:sz="4" w:space="0"/>
                    <w:right w:val="single" w:color="auto" w:sz="4" w:space="0"/>
                  </w:tcBorders>
                  <w:vAlign w:val="center"/>
                </w:tcPr>
                <w:p w14:paraId="1BF6B8E9">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w:t>
                  </w:r>
                </w:p>
              </w:tc>
              <w:tc>
                <w:tcPr>
                  <w:tcW w:w="1401" w:type="dxa"/>
                  <w:tcBorders>
                    <w:top w:val="single" w:color="auto" w:sz="4" w:space="0"/>
                    <w:left w:val="nil"/>
                    <w:bottom w:val="single" w:color="auto" w:sz="4" w:space="0"/>
                    <w:right w:val="single" w:color="auto" w:sz="4" w:space="0"/>
                  </w:tcBorders>
                  <w:vAlign w:val="center"/>
                </w:tcPr>
                <w:p w14:paraId="7014DD92">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w:t>
                  </w:r>
                </w:p>
              </w:tc>
            </w:tr>
            <w:tr w14:paraId="76B3E6C8">
              <w:tblPrEx>
                <w:tblCellMar>
                  <w:top w:w="0" w:type="dxa"/>
                  <w:left w:w="108" w:type="dxa"/>
                  <w:bottom w:w="0" w:type="dxa"/>
                  <w:right w:w="108" w:type="dxa"/>
                </w:tblCellMar>
              </w:tblPrEx>
              <w:trPr>
                <w:trHeight w:val="241"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27977092">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27</w:t>
                  </w:r>
                </w:p>
              </w:tc>
              <w:tc>
                <w:tcPr>
                  <w:tcW w:w="3014" w:type="dxa"/>
                  <w:tcBorders>
                    <w:top w:val="single" w:color="auto" w:sz="4" w:space="0"/>
                    <w:left w:val="nil"/>
                    <w:bottom w:val="single" w:color="auto" w:sz="4" w:space="0"/>
                    <w:right w:val="single" w:color="auto" w:sz="4" w:space="0"/>
                  </w:tcBorders>
                  <w:vAlign w:val="center"/>
                </w:tcPr>
                <w:p w14:paraId="4A630034">
                  <w:pPr>
                    <w:keepNext w:val="0"/>
                    <w:keepLines w:val="0"/>
                    <w:widowControl/>
                    <w:suppressLineNumbers w:val="0"/>
                    <w:spacing w:before="0" w:beforeAutospacing="0" w:after="0" w:afterAutospacing="0" w:line="270" w:lineRule="exact"/>
                    <w:ind w:left="0" w:right="0"/>
                    <w:jc w:val="center"/>
                    <w:rPr>
                      <w:rFonts w:hint="default"/>
                      <w:color w:val="auto"/>
                      <w:sz w:val="18"/>
                      <w:szCs w:val="18"/>
                    </w:rPr>
                  </w:pPr>
                  <w:r>
                    <w:rPr>
                      <w:rFonts w:hint="eastAsia"/>
                      <w:color w:val="auto"/>
                      <w:sz w:val="18"/>
                      <w:szCs w:val="18"/>
                    </w:rPr>
                    <w:t>空气能中央空调</w:t>
                  </w:r>
                </w:p>
              </w:tc>
              <w:tc>
                <w:tcPr>
                  <w:tcW w:w="877" w:type="dxa"/>
                  <w:tcBorders>
                    <w:top w:val="single" w:color="auto" w:sz="4" w:space="0"/>
                    <w:left w:val="nil"/>
                    <w:bottom w:val="single" w:color="auto" w:sz="4" w:space="0"/>
                    <w:right w:val="single" w:color="auto" w:sz="4" w:space="0"/>
                  </w:tcBorders>
                  <w:vAlign w:val="center"/>
                </w:tcPr>
                <w:p w14:paraId="232B183C">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套</w:t>
                  </w:r>
                </w:p>
              </w:tc>
              <w:tc>
                <w:tcPr>
                  <w:tcW w:w="1230" w:type="dxa"/>
                  <w:tcBorders>
                    <w:top w:val="single" w:color="auto" w:sz="4" w:space="0"/>
                    <w:left w:val="nil"/>
                    <w:bottom w:val="single" w:color="auto" w:sz="4" w:space="0"/>
                    <w:right w:val="single" w:color="auto" w:sz="4" w:space="0"/>
                  </w:tcBorders>
                  <w:vAlign w:val="center"/>
                </w:tcPr>
                <w:p w14:paraId="41FFA0FB">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1</w:t>
                  </w:r>
                </w:p>
              </w:tc>
              <w:tc>
                <w:tcPr>
                  <w:tcW w:w="1401" w:type="dxa"/>
                  <w:tcBorders>
                    <w:top w:val="single" w:color="auto" w:sz="4" w:space="0"/>
                    <w:left w:val="nil"/>
                    <w:bottom w:val="single" w:color="auto" w:sz="4" w:space="0"/>
                    <w:right w:val="single" w:color="auto" w:sz="4" w:space="0"/>
                  </w:tcBorders>
                  <w:vAlign w:val="center"/>
                </w:tcPr>
                <w:p w14:paraId="78722AE0">
                  <w:pPr>
                    <w:keepNext w:val="0"/>
                    <w:keepLines w:val="0"/>
                    <w:widowControl/>
                    <w:suppressLineNumbers w:val="0"/>
                    <w:spacing w:before="0" w:beforeAutospacing="0" w:after="0" w:afterAutospacing="0" w:line="270" w:lineRule="exact"/>
                    <w:ind w:left="0" w:right="0"/>
                    <w:jc w:val="center"/>
                    <w:rPr>
                      <w:rFonts w:hint="default"/>
                      <w:color w:val="auto"/>
                      <w:kern w:val="0"/>
                      <w:sz w:val="18"/>
                      <w:szCs w:val="18"/>
                    </w:rPr>
                  </w:pPr>
                  <w:r>
                    <w:rPr>
                      <w:rFonts w:hint="eastAsia"/>
                      <w:color w:val="auto"/>
                      <w:kern w:val="0"/>
                      <w:sz w:val="18"/>
                      <w:szCs w:val="18"/>
                    </w:rPr>
                    <w:t>/</w:t>
                  </w:r>
                </w:p>
              </w:tc>
            </w:tr>
          </w:tbl>
          <w:p w14:paraId="6E6D5F4A">
            <w:pPr>
              <w:keepNext w:val="0"/>
              <w:keepLines w:val="0"/>
              <w:suppressLineNumbers w:val="0"/>
              <w:autoSpaceDE w:val="0"/>
              <w:autoSpaceDN w:val="0"/>
              <w:adjustRightInd w:val="0"/>
              <w:snapToGrid w:val="0"/>
              <w:spacing w:before="120" w:beforeLines="50" w:beforeAutospacing="0" w:after="0" w:afterAutospacing="0" w:line="400" w:lineRule="exact"/>
              <w:ind w:left="0" w:right="0"/>
              <w:jc w:val="left"/>
              <w:rPr>
                <w:rFonts w:hint="default" w:eastAsia="黑体" w:cs="宋体"/>
                <w:color w:val="auto"/>
                <w:kern w:val="0"/>
                <w:szCs w:val="21"/>
              </w:rPr>
            </w:pPr>
            <w:r>
              <w:rPr>
                <w:rFonts w:hint="eastAsia" w:eastAsia="黑体" w:cs="宋体"/>
                <w:color w:val="auto"/>
                <w:kern w:val="0"/>
                <w:szCs w:val="21"/>
              </w:rPr>
              <w:t>5</w:t>
            </w:r>
            <w:r>
              <w:rPr>
                <w:rFonts w:hint="default" w:eastAsia="黑体" w:cs="宋体"/>
                <w:color w:val="auto"/>
                <w:kern w:val="0"/>
                <w:szCs w:val="21"/>
              </w:rPr>
              <w:t>、主要原辅材料及能源消耗情况</w:t>
            </w:r>
          </w:p>
          <w:p w14:paraId="00433A46">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sz w:val="24"/>
              </w:rPr>
            </w:pPr>
            <w:r>
              <w:rPr>
                <w:rFonts w:hint="default"/>
                <w:color w:val="auto"/>
                <w:kern w:val="0"/>
                <w:szCs w:val="21"/>
                <w:lang w:val="zh-CN"/>
              </w:rPr>
              <w:t>本项目建成投入使用后，其主要原辅材料及能源消耗情况见下表。</w:t>
            </w:r>
          </w:p>
          <w:p w14:paraId="5B3F8B0D">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 xml:space="preserve">2-4 </w:t>
            </w:r>
            <w:r>
              <w:rPr>
                <w:rFonts w:hint="default" w:eastAsia="黑体"/>
                <w:color w:val="auto"/>
                <w:sz w:val="18"/>
                <w:szCs w:val="18"/>
              </w:rPr>
              <w:t xml:space="preserve"> </w:t>
            </w:r>
            <w:r>
              <w:rPr>
                <w:rFonts w:hint="eastAsia" w:eastAsia="黑体"/>
                <w:color w:val="auto"/>
                <w:sz w:val="18"/>
                <w:szCs w:val="18"/>
              </w:rPr>
              <w:t xml:space="preserve"> </w:t>
            </w:r>
            <w:r>
              <w:rPr>
                <w:rFonts w:hint="default" w:eastAsia="黑体"/>
                <w:color w:val="auto"/>
                <w:sz w:val="18"/>
                <w:szCs w:val="18"/>
              </w:rPr>
              <w:t>主要原辅材料及能源消耗一览表</w:t>
            </w:r>
          </w:p>
          <w:tbl>
            <w:tblPr>
              <w:tblStyle w:val="13"/>
              <w:tblW w:w="7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2081"/>
              <w:gridCol w:w="1559"/>
              <w:gridCol w:w="1579"/>
              <w:gridCol w:w="1909"/>
            </w:tblGrid>
            <w:tr w14:paraId="176A3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Align w:val="center"/>
                </w:tcPr>
                <w:p w14:paraId="6101D2D0">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类别</w:t>
                  </w:r>
                </w:p>
              </w:tc>
              <w:tc>
                <w:tcPr>
                  <w:tcW w:w="2081" w:type="dxa"/>
                  <w:vAlign w:val="center"/>
                </w:tcPr>
                <w:p w14:paraId="2BB15C3F">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名称</w:t>
                  </w:r>
                </w:p>
              </w:tc>
              <w:tc>
                <w:tcPr>
                  <w:tcW w:w="1559" w:type="dxa"/>
                  <w:vAlign w:val="center"/>
                </w:tcPr>
                <w:p w14:paraId="2DD6FFEA">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年耗量</w:t>
                  </w:r>
                </w:p>
              </w:tc>
              <w:tc>
                <w:tcPr>
                  <w:tcW w:w="1579" w:type="dxa"/>
                  <w:vAlign w:val="center"/>
                </w:tcPr>
                <w:p w14:paraId="3132F932">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来源</w:t>
                  </w:r>
                </w:p>
              </w:tc>
              <w:tc>
                <w:tcPr>
                  <w:tcW w:w="1909" w:type="dxa"/>
                  <w:vAlign w:val="center"/>
                </w:tcPr>
                <w:p w14:paraId="782DEB51">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主要化学成分</w:t>
                  </w:r>
                </w:p>
              </w:tc>
            </w:tr>
            <w:tr w14:paraId="3DA3B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restart"/>
                  <w:vAlign w:val="center"/>
                </w:tcPr>
                <w:p w14:paraId="0BBC9C8E">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主要</w:t>
                  </w:r>
                </w:p>
                <w:p w14:paraId="40D85164">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原辅</w:t>
                  </w:r>
                </w:p>
                <w:p w14:paraId="71F86DC3">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材料</w:t>
                  </w:r>
                </w:p>
              </w:tc>
              <w:tc>
                <w:tcPr>
                  <w:tcW w:w="2081" w:type="dxa"/>
                  <w:vAlign w:val="center"/>
                </w:tcPr>
                <w:p w14:paraId="350653A3">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各类药品</w:t>
                  </w:r>
                </w:p>
              </w:tc>
              <w:tc>
                <w:tcPr>
                  <w:tcW w:w="1559" w:type="dxa"/>
                  <w:vAlign w:val="center"/>
                </w:tcPr>
                <w:p w14:paraId="7E6F9F29">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若干</w:t>
                  </w:r>
                </w:p>
              </w:tc>
              <w:tc>
                <w:tcPr>
                  <w:tcW w:w="1579" w:type="dxa"/>
                  <w:vAlign w:val="center"/>
                </w:tcPr>
                <w:p w14:paraId="049B7A24">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医药公司外购</w:t>
                  </w:r>
                </w:p>
              </w:tc>
              <w:tc>
                <w:tcPr>
                  <w:tcW w:w="1909" w:type="dxa"/>
                  <w:vAlign w:val="center"/>
                </w:tcPr>
                <w:p w14:paraId="19329304">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w:t>
                  </w:r>
                </w:p>
              </w:tc>
            </w:tr>
            <w:tr w14:paraId="14EEF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14:paraId="2BB900F8">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14:paraId="01194CAE">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一次性注射器</w:t>
                  </w:r>
                </w:p>
              </w:tc>
              <w:tc>
                <w:tcPr>
                  <w:tcW w:w="1559" w:type="dxa"/>
                  <w:vAlign w:val="center"/>
                </w:tcPr>
                <w:p w14:paraId="1D584E47">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约</w:t>
                  </w:r>
                  <w:r>
                    <w:rPr>
                      <w:rFonts w:hint="eastAsia"/>
                      <w:color w:val="auto"/>
                      <w:sz w:val="18"/>
                      <w:szCs w:val="18"/>
                    </w:rPr>
                    <w:t>2.0</w:t>
                  </w:r>
                  <w:r>
                    <w:rPr>
                      <w:rFonts w:hint="default"/>
                      <w:color w:val="auto"/>
                      <w:sz w:val="18"/>
                      <w:szCs w:val="18"/>
                    </w:rPr>
                    <w:t>万支</w:t>
                  </w:r>
                </w:p>
              </w:tc>
              <w:tc>
                <w:tcPr>
                  <w:tcW w:w="1579" w:type="dxa"/>
                  <w:vMerge w:val="restart"/>
                  <w:vAlign w:val="center"/>
                </w:tcPr>
                <w:p w14:paraId="45ECBE24">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医药公司外购</w:t>
                  </w:r>
                </w:p>
              </w:tc>
              <w:tc>
                <w:tcPr>
                  <w:tcW w:w="1909" w:type="dxa"/>
                  <w:vMerge w:val="restart"/>
                  <w:vAlign w:val="center"/>
                </w:tcPr>
                <w:p w14:paraId="65487FD4">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聚乙烯</w:t>
                  </w:r>
                </w:p>
              </w:tc>
            </w:tr>
            <w:tr w14:paraId="6F45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14:paraId="5493DACF">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14:paraId="7E9AAF20">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一次性输液器</w:t>
                  </w:r>
                </w:p>
              </w:tc>
              <w:tc>
                <w:tcPr>
                  <w:tcW w:w="1559" w:type="dxa"/>
                  <w:vAlign w:val="center"/>
                </w:tcPr>
                <w:p w14:paraId="13D0688A">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约</w:t>
                  </w:r>
                  <w:r>
                    <w:rPr>
                      <w:rFonts w:hint="eastAsia"/>
                      <w:color w:val="auto"/>
                      <w:sz w:val="18"/>
                      <w:szCs w:val="18"/>
                    </w:rPr>
                    <w:t>2.6</w:t>
                  </w:r>
                  <w:r>
                    <w:rPr>
                      <w:rFonts w:hint="default"/>
                      <w:color w:val="auto"/>
                      <w:sz w:val="18"/>
                      <w:szCs w:val="18"/>
                    </w:rPr>
                    <w:t>万套</w:t>
                  </w:r>
                </w:p>
              </w:tc>
              <w:tc>
                <w:tcPr>
                  <w:tcW w:w="1579" w:type="dxa"/>
                  <w:vMerge w:val="continue"/>
                  <w:vAlign w:val="center"/>
                </w:tcPr>
                <w:p w14:paraId="7396668B">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Merge w:val="continue"/>
                  <w:vAlign w:val="center"/>
                </w:tcPr>
                <w:p w14:paraId="25512F63">
                  <w:pPr>
                    <w:keepNext w:val="0"/>
                    <w:keepLines w:val="0"/>
                    <w:suppressLineNumbers w:val="0"/>
                    <w:spacing w:before="0" w:beforeAutospacing="0" w:after="0" w:afterAutospacing="0" w:line="280" w:lineRule="exact"/>
                    <w:ind w:left="-90" w:right="0"/>
                    <w:jc w:val="center"/>
                    <w:rPr>
                      <w:rFonts w:hint="default"/>
                      <w:color w:val="auto"/>
                      <w:sz w:val="18"/>
                      <w:szCs w:val="18"/>
                    </w:rPr>
                  </w:pPr>
                </w:p>
              </w:tc>
            </w:tr>
            <w:tr w14:paraId="2AB6E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14:paraId="75C43470">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14:paraId="606BF460">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一次性采血针</w:t>
                  </w:r>
                </w:p>
              </w:tc>
              <w:tc>
                <w:tcPr>
                  <w:tcW w:w="1559" w:type="dxa"/>
                  <w:vAlign w:val="center"/>
                </w:tcPr>
                <w:p w14:paraId="7C8ECF7C">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约0</w:t>
                  </w:r>
                  <w:r>
                    <w:rPr>
                      <w:rFonts w:hint="eastAsia"/>
                      <w:color w:val="auto"/>
                      <w:sz w:val="18"/>
                      <w:szCs w:val="18"/>
                    </w:rPr>
                    <w:t>.4</w:t>
                  </w:r>
                  <w:r>
                    <w:rPr>
                      <w:rFonts w:hint="default"/>
                      <w:color w:val="auto"/>
                      <w:sz w:val="18"/>
                      <w:szCs w:val="18"/>
                    </w:rPr>
                    <w:t>万支</w:t>
                  </w:r>
                </w:p>
              </w:tc>
              <w:tc>
                <w:tcPr>
                  <w:tcW w:w="1579" w:type="dxa"/>
                  <w:vMerge w:val="continue"/>
                  <w:vAlign w:val="center"/>
                </w:tcPr>
                <w:p w14:paraId="6D442009">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Merge w:val="continue"/>
                  <w:vAlign w:val="center"/>
                </w:tcPr>
                <w:p w14:paraId="4CF2C085">
                  <w:pPr>
                    <w:keepNext w:val="0"/>
                    <w:keepLines w:val="0"/>
                    <w:suppressLineNumbers w:val="0"/>
                    <w:spacing w:before="0" w:beforeAutospacing="0" w:after="0" w:afterAutospacing="0" w:line="280" w:lineRule="exact"/>
                    <w:ind w:left="-90" w:right="0"/>
                    <w:jc w:val="center"/>
                    <w:rPr>
                      <w:rFonts w:hint="default"/>
                      <w:color w:val="auto"/>
                      <w:sz w:val="18"/>
                      <w:szCs w:val="18"/>
                    </w:rPr>
                  </w:pPr>
                </w:p>
              </w:tc>
            </w:tr>
            <w:tr w14:paraId="67E0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14:paraId="76B43C1E">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14:paraId="179A46D0">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血透管路</w:t>
                  </w:r>
                </w:p>
              </w:tc>
              <w:tc>
                <w:tcPr>
                  <w:tcW w:w="1559" w:type="dxa"/>
                  <w:vAlign w:val="center"/>
                </w:tcPr>
                <w:p w14:paraId="2A3A7EC4">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3万套</w:t>
                  </w:r>
                </w:p>
              </w:tc>
              <w:tc>
                <w:tcPr>
                  <w:tcW w:w="1579" w:type="dxa"/>
                  <w:vMerge w:val="continue"/>
                  <w:vAlign w:val="center"/>
                </w:tcPr>
                <w:p w14:paraId="66D2AC1C">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14:paraId="34807D16">
                  <w:pPr>
                    <w:keepNext w:val="0"/>
                    <w:keepLines w:val="0"/>
                    <w:suppressLineNumbers w:val="0"/>
                    <w:spacing w:before="0" w:beforeAutospacing="0" w:after="0" w:afterAutospacing="0" w:line="280" w:lineRule="exact"/>
                    <w:ind w:left="-90" w:right="0"/>
                    <w:jc w:val="center"/>
                    <w:rPr>
                      <w:rFonts w:hint="default"/>
                      <w:color w:val="auto"/>
                      <w:sz w:val="18"/>
                      <w:szCs w:val="18"/>
                    </w:rPr>
                  </w:pPr>
                </w:p>
              </w:tc>
            </w:tr>
            <w:tr w14:paraId="7096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14:paraId="7AD10825">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14:paraId="07C5DCC5">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抗凝剂</w:t>
                  </w:r>
                </w:p>
              </w:tc>
              <w:tc>
                <w:tcPr>
                  <w:tcW w:w="1559" w:type="dxa"/>
                  <w:vAlign w:val="center"/>
                </w:tcPr>
                <w:p w14:paraId="6F9A28CE">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3万支</w:t>
                  </w:r>
                </w:p>
              </w:tc>
              <w:tc>
                <w:tcPr>
                  <w:tcW w:w="1579" w:type="dxa"/>
                  <w:vMerge w:val="continue"/>
                  <w:vAlign w:val="center"/>
                </w:tcPr>
                <w:p w14:paraId="2532795E">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14:paraId="0838C311">
                  <w:pPr>
                    <w:keepNext w:val="0"/>
                    <w:keepLines w:val="0"/>
                    <w:suppressLineNumbers w:val="0"/>
                    <w:spacing w:before="0" w:beforeAutospacing="0" w:after="0" w:afterAutospacing="0" w:line="280" w:lineRule="exact"/>
                    <w:ind w:left="-90" w:right="0"/>
                    <w:jc w:val="center"/>
                    <w:rPr>
                      <w:rFonts w:hint="default"/>
                      <w:color w:val="auto"/>
                      <w:sz w:val="18"/>
                      <w:szCs w:val="18"/>
                    </w:rPr>
                  </w:pPr>
                </w:p>
              </w:tc>
            </w:tr>
            <w:tr w14:paraId="16D61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vMerge w:val="continue"/>
                  <w:vAlign w:val="center"/>
                </w:tcPr>
                <w:p w14:paraId="284AA2BB">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14:paraId="273CAFD3">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透析A、B液</w:t>
                  </w:r>
                </w:p>
              </w:tc>
              <w:tc>
                <w:tcPr>
                  <w:tcW w:w="1559" w:type="dxa"/>
                  <w:vAlign w:val="center"/>
                </w:tcPr>
                <w:p w14:paraId="0A85F134">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108t/a</w:t>
                  </w:r>
                </w:p>
              </w:tc>
              <w:tc>
                <w:tcPr>
                  <w:tcW w:w="1579" w:type="dxa"/>
                  <w:vMerge w:val="continue"/>
                  <w:vAlign w:val="center"/>
                </w:tcPr>
                <w:p w14:paraId="5C9A2D65">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14:paraId="5718BA03">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NaCl、KCl、CaC1、MgCl、醋酸、NaHCO</w:t>
                  </w:r>
                  <w:r>
                    <w:rPr>
                      <w:rFonts w:hint="eastAsia"/>
                      <w:color w:val="auto"/>
                      <w:sz w:val="18"/>
                      <w:szCs w:val="18"/>
                      <w:vertAlign w:val="subscript"/>
                    </w:rPr>
                    <w:t>3</w:t>
                  </w:r>
                </w:p>
              </w:tc>
            </w:tr>
            <w:tr w14:paraId="27523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14:paraId="2BD68413">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14:paraId="66FE9F71">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生理盐水（1L/瓶）</w:t>
                  </w:r>
                </w:p>
              </w:tc>
              <w:tc>
                <w:tcPr>
                  <w:tcW w:w="1559" w:type="dxa"/>
                  <w:vAlign w:val="center"/>
                </w:tcPr>
                <w:p w14:paraId="585E815E">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7万瓶</w:t>
                  </w:r>
                </w:p>
              </w:tc>
              <w:tc>
                <w:tcPr>
                  <w:tcW w:w="1579" w:type="dxa"/>
                  <w:vMerge w:val="continue"/>
                  <w:vAlign w:val="center"/>
                </w:tcPr>
                <w:p w14:paraId="56F136EB">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14:paraId="1729C28B">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w:t>
                  </w:r>
                </w:p>
              </w:tc>
            </w:tr>
            <w:tr w14:paraId="1EFCA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14:paraId="665360C5">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14:paraId="79E44F69">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棉签</w:t>
                  </w:r>
                </w:p>
              </w:tc>
              <w:tc>
                <w:tcPr>
                  <w:tcW w:w="1559" w:type="dxa"/>
                  <w:vAlign w:val="center"/>
                </w:tcPr>
                <w:p w14:paraId="296B3D5C">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约0.</w:t>
                  </w:r>
                  <w:r>
                    <w:rPr>
                      <w:rFonts w:hint="eastAsia"/>
                      <w:color w:val="auto"/>
                      <w:sz w:val="18"/>
                      <w:szCs w:val="18"/>
                    </w:rPr>
                    <w:t>4</w:t>
                  </w:r>
                  <w:r>
                    <w:rPr>
                      <w:rFonts w:hint="default"/>
                      <w:color w:val="auto"/>
                      <w:sz w:val="18"/>
                      <w:szCs w:val="18"/>
                    </w:rPr>
                    <w:t>万包</w:t>
                  </w:r>
                </w:p>
              </w:tc>
              <w:tc>
                <w:tcPr>
                  <w:tcW w:w="1579" w:type="dxa"/>
                  <w:vMerge w:val="continue"/>
                  <w:vAlign w:val="center"/>
                </w:tcPr>
                <w:p w14:paraId="3BE6C2A3">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14:paraId="77DB5829">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w:t>
                  </w:r>
                </w:p>
              </w:tc>
            </w:tr>
            <w:tr w14:paraId="41789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14:paraId="2752292E">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14:paraId="147EC1EA">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一次性口罩、帽子</w:t>
                  </w:r>
                </w:p>
              </w:tc>
              <w:tc>
                <w:tcPr>
                  <w:tcW w:w="1559" w:type="dxa"/>
                  <w:vAlign w:val="center"/>
                </w:tcPr>
                <w:p w14:paraId="20C5CAB3">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约</w:t>
                  </w:r>
                  <w:r>
                    <w:rPr>
                      <w:rFonts w:hint="eastAsia"/>
                      <w:color w:val="auto"/>
                      <w:sz w:val="18"/>
                      <w:szCs w:val="18"/>
                    </w:rPr>
                    <w:t>1.0</w:t>
                  </w:r>
                  <w:r>
                    <w:rPr>
                      <w:rFonts w:hint="default"/>
                      <w:color w:val="auto"/>
                      <w:sz w:val="18"/>
                      <w:szCs w:val="18"/>
                    </w:rPr>
                    <w:t>万袋</w:t>
                  </w:r>
                </w:p>
              </w:tc>
              <w:tc>
                <w:tcPr>
                  <w:tcW w:w="1579" w:type="dxa"/>
                  <w:vMerge w:val="continue"/>
                  <w:vAlign w:val="center"/>
                </w:tcPr>
                <w:p w14:paraId="679592A5">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14:paraId="2D09E2C4">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w:t>
                  </w:r>
                </w:p>
              </w:tc>
            </w:tr>
            <w:tr w14:paraId="3CC4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14:paraId="33EC3A58">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14:paraId="5DEC7D81">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棉球</w:t>
                  </w:r>
                </w:p>
              </w:tc>
              <w:tc>
                <w:tcPr>
                  <w:tcW w:w="1559" w:type="dxa"/>
                  <w:vAlign w:val="center"/>
                </w:tcPr>
                <w:p w14:paraId="1A8B6811">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50</w:t>
                  </w:r>
                  <w:r>
                    <w:rPr>
                      <w:rFonts w:hint="default"/>
                      <w:color w:val="auto"/>
                      <w:sz w:val="18"/>
                      <w:szCs w:val="18"/>
                    </w:rPr>
                    <w:t>kg</w:t>
                  </w:r>
                </w:p>
              </w:tc>
              <w:tc>
                <w:tcPr>
                  <w:tcW w:w="1579" w:type="dxa"/>
                  <w:vMerge w:val="continue"/>
                  <w:vAlign w:val="center"/>
                </w:tcPr>
                <w:p w14:paraId="4098BEE1">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14:paraId="76BFC3B6">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w:t>
                  </w:r>
                </w:p>
              </w:tc>
            </w:tr>
            <w:tr w14:paraId="528D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14:paraId="12080DC4">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14:paraId="61061428">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棉花</w:t>
                  </w:r>
                </w:p>
              </w:tc>
              <w:tc>
                <w:tcPr>
                  <w:tcW w:w="1559" w:type="dxa"/>
                  <w:vAlign w:val="center"/>
                </w:tcPr>
                <w:p w14:paraId="2937FB92">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50</w:t>
                  </w:r>
                  <w:r>
                    <w:rPr>
                      <w:rFonts w:hint="default"/>
                      <w:color w:val="auto"/>
                      <w:sz w:val="18"/>
                      <w:szCs w:val="18"/>
                    </w:rPr>
                    <w:t>kg</w:t>
                  </w:r>
                </w:p>
              </w:tc>
              <w:tc>
                <w:tcPr>
                  <w:tcW w:w="1579" w:type="dxa"/>
                  <w:vMerge w:val="continue"/>
                  <w:vAlign w:val="center"/>
                </w:tcPr>
                <w:p w14:paraId="71EF4C94">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14:paraId="20A933DC">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w:t>
                  </w:r>
                </w:p>
              </w:tc>
            </w:tr>
            <w:tr w14:paraId="7BFB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14:paraId="2CE03905">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14:paraId="7E8AC375">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纱布</w:t>
                  </w:r>
                </w:p>
              </w:tc>
              <w:tc>
                <w:tcPr>
                  <w:tcW w:w="1559" w:type="dxa"/>
                  <w:vAlign w:val="center"/>
                </w:tcPr>
                <w:p w14:paraId="2B0CFE76">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8</w:t>
                  </w:r>
                  <w:r>
                    <w:rPr>
                      <w:rFonts w:hint="default"/>
                      <w:color w:val="auto"/>
                      <w:sz w:val="18"/>
                      <w:szCs w:val="18"/>
                    </w:rPr>
                    <w:t>0kg</w:t>
                  </w:r>
                </w:p>
              </w:tc>
              <w:tc>
                <w:tcPr>
                  <w:tcW w:w="1579" w:type="dxa"/>
                  <w:vMerge w:val="continue"/>
                  <w:vAlign w:val="center"/>
                </w:tcPr>
                <w:p w14:paraId="59825202">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14:paraId="7C2D54FE">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w:t>
                  </w:r>
                </w:p>
              </w:tc>
            </w:tr>
            <w:tr w14:paraId="1A6A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14:paraId="177F9008">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14:paraId="75434D40">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乙醇</w:t>
                  </w:r>
                </w:p>
              </w:tc>
              <w:tc>
                <w:tcPr>
                  <w:tcW w:w="1559" w:type="dxa"/>
                  <w:vAlign w:val="center"/>
                </w:tcPr>
                <w:p w14:paraId="44BDCA54">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若干</w:t>
                  </w:r>
                </w:p>
              </w:tc>
              <w:tc>
                <w:tcPr>
                  <w:tcW w:w="1579" w:type="dxa"/>
                  <w:vMerge w:val="continue"/>
                  <w:vAlign w:val="center"/>
                </w:tcPr>
                <w:p w14:paraId="05D21C6B">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14:paraId="29BC44D4">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C</w:t>
                  </w:r>
                  <w:r>
                    <w:rPr>
                      <w:rFonts w:hint="default"/>
                      <w:color w:val="auto"/>
                      <w:sz w:val="18"/>
                      <w:szCs w:val="18"/>
                      <w:vertAlign w:val="subscript"/>
                    </w:rPr>
                    <w:t>2</w:t>
                  </w:r>
                  <w:r>
                    <w:rPr>
                      <w:rFonts w:hint="default"/>
                      <w:color w:val="auto"/>
                      <w:sz w:val="18"/>
                      <w:szCs w:val="18"/>
                    </w:rPr>
                    <w:t>H</w:t>
                  </w:r>
                  <w:r>
                    <w:rPr>
                      <w:rFonts w:hint="default"/>
                      <w:color w:val="auto"/>
                      <w:sz w:val="18"/>
                      <w:szCs w:val="18"/>
                      <w:vertAlign w:val="subscript"/>
                    </w:rPr>
                    <w:t>5</w:t>
                  </w:r>
                  <w:r>
                    <w:rPr>
                      <w:rFonts w:hint="default"/>
                      <w:color w:val="auto"/>
                      <w:sz w:val="18"/>
                      <w:szCs w:val="18"/>
                    </w:rPr>
                    <w:t>OH</w:t>
                  </w:r>
                </w:p>
              </w:tc>
            </w:tr>
            <w:tr w14:paraId="7ABD7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14:paraId="53F5CC8E">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14:paraId="65212CCB">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过氧乙酸</w:t>
                  </w:r>
                </w:p>
              </w:tc>
              <w:tc>
                <w:tcPr>
                  <w:tcW w:w="1559" w:type="dxa"/>
                  <w:vAlign w:val="center"/>
                </w:tcPr>
                <w:p w14:paraId="4BDE1D71">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若干</w:t>
                  </w:r>
                </w:p>
              </w:tc>
              <w:tc>
                <w:tcPr>
                  <w:tcW w:w="1579" w:type="dxa"/>
                  <w:vMerge w:val="continue"/>
                  <w:vAlign w:val="center"/>
                </w:tcPr>
                <w:p w14:paraId="244B64A6">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14:paraId="4E1C6426">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CH</w:t>
                  </w:r>
                  <w:r>
                    <w:rPr>
                      <w:rFonts w:hint="default"/>
                      <w:color w:val="auto"/>
                      <w:sz w:val="18"/>
                      <w:szCs w:val="18"/>
                      <w:vertAlign w:val="subscript"/>
                    </w:rPr>
                    <w:t>3</w:t>
                  </w:r>
                  <w:r>
                    <w:rPr>
                      <w:rFonts w:hint="default"/>
                      <w:color w:val="auto"/>
                      <w:sz w:val="18"/>
                      <w:szCs w:val="18"/>
                    </w:rPr>
                    <w:t>COOOH</w:t>
                  </w:r>
                </w:p>
              </w:tc>
            </w:tr>
            <w:tr w14:paraId="03ED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672" w:type="dxa"/>
                  <w:vMerge w:val="continue"/>
                  <w:vAlign w:val="center"/>
                </w:tcPr>
                <w:p w14:paraId="2802FBB5">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14:paraId="118D0B07">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絮凝剂</w:t>
                  </w:r>
                </w:p>
              </w:tc>
              <w:tc>
                <w:tcPr>
                  <w:tcW w:w="1559" w:type="dxa"/>
                  <w:vAlign w:val="center"/>
                </w:tcPr>
                <w:p w14:paraId="4282A031">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0.5t</w:t>
                  </w:r>
                </w:p>
              </w:tc>
              <w:tc>
                <w:tcPr>
                  <w:tcW w:w="1579" w:type="dxa"/>
                  <w:vMerge w:val="continue"/>
                  <w:vAlign w:val="center"/>
                </w:tcPr>
                <w:p w14:paraId="61E4DA98">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14:paraId="6A86A988">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PAM、PAC</w:t>
                  </w:r>
                </w:p>
              </w:tc>
            </w:tr>
            <w:tr w14:paraId="331D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72" w:type="dxa"/>
                  <w:vMerge w:val="continue"/>
                  <w:vAlign w:val="center"/>
                </w:tcPr>
                <w:p w14:paraId="21DA29E6">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14:paraId="18B3967B">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lang w:eastAsia="zh-CN"/>
                    </w:rPr>
                    <w:t>消毒剂</w:t>
                  </w:r>
                  <w:r>
                    <w:rPr>
                      <w:rFonts w:hint="default"/>
                      <w:color w:val="auto"/>
                      <w:sz w:val="18"/>
                      <w:szCs w:val="18"/>
                    </w:rPr>
                    <w:t>（“84”</w:t>
                  </w:r>
                  <w:r>
                    <w:rPr>
                      <w:rFonts w:hint="eastAsia"/>
                      <w:color w:val="auto"/>
                      <w:sz w:val="18"/>
                      <w:szCs w:val="18"/>
                      <w:lang w:eastAsia="zh-CN"/>
                    </w:rPr>
                    <w:t>消毒剂</w:t>
                  </w:r>
                  <w:r>
                    <w:rPr>
                      <w:rFonts w:hint="default"/>
                      <w:color w:val="auto"/>
                      <w:sz w:val="18"/>
                      <w:szCs w:val="18"/>
                    </w:rPr>
                    <w:t>）</w:t>
                  </w:r>
                </w:p>
              </w:tc>
              <w:tc>
                <w:tcPr>
                  <w:tcW w:w="1559" w:type="dxa"/>
                  <w:vAlign w:val="center"/>
                </w:tcPr>
                <w:p w14:paraId="0DCCD2EB">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10</w:t>
                  </w:r>
                  <w:r>
                    <w:rPr>
                      <w:rFonts w:hint="default"/>
                      <w:color w:val="auto"/>
                      <w:sz w:val="18"/>
                      <w:szCs w:val="18"/>
                    </w:rPr>
                    <w:t>0瓶（100m</w:t>
                  </w:r>
                  <w:r>
                    <w:rPr>
                      <w:rFonts w:hint="eastAsia"/>
                      <w:color w:val="auto"/>
                      <w:sz w:val="18"/>
                      <w:szCs w:val="18"/>
                    </w:rPr>
                    <w:t>L</w:t>
                  </w:r>
                  <w:r>
                    <w:rPr>
                      <w:rFonts w:hint="default"/>
                      <w:color w:val="auto"/>
                      <w:sz w:val="18"/>
                      <w:szCs w:val="18"/>
                    </w:rPr>
                    <w:t>/瓶）</w:t>
                  </w:r>
                </w:p>
              </w:tc>
              <w:tc>
                <w:tcPr>
                  <w:tcW w:w="1579" w:type="dxa"/>
                  <w:vMerge w:val="continue"/>
                  <w:vAlign w:val="center"/>
                </w:tcPr>
                <w:p w14:paraId="1B6D3F96">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14:paraId="4CAABBA5">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次氯酸盐</w:t>
                  </w:r>
                </w:p>
              </w:tc>
            </w:tr>
            <w:tr w14:paraId="2DD2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672" w:type="dxa"/>
                  <w:vMerge w:val="continue"/>
                  <w:vAlign w:val="center"/>
                </w:tcPr>
                <w:p w14:paraId="41AC4E75">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14:paraId="39235EE4">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消毒氯片</w:t>
                  </w:r>
                </w:p>
              </w:tc>
              <w:tc>
                <w:tcPr>
                  <w:tcW w:w="1559" w:type="dxa"/>
                  <w:vAlign w:val="center"/>
                </w:tcPr>
                <w:p w14:paraId="367286CC">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0.8t/a</w:t>
                  </w:r>
                </w:p>
              </w:tc>
              <w:tc>
                <w:tcPr>
                  <w:tcW w:w="1579" w:type="dxa"/>
                  <w:vMerge w:val="continue"/>
                  <w:vAlign w:val="center"/>
                </w:tcPr>
                <w:p w14:paraId="349E1CF5">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14:paraId="1FE7C372">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二/三氯异氰尿酸</w:t>
                  </w:r>
                </w:p>
              </w:tc>
            </w:tr>
            <w:tr w14:paraId="1E5EF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2" w:type="dxa"/>
                  <w:vMerge w:val="continue"/>
                  <w:vAlign w:val="center"/>
                </w:tcPr>
                <w:p w14:paraId="271F549D">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14:paraId="25F98417">
                  <w:pPr>
                    <w:keepNext w:val="0"/>
                    <w:keepLines w:val="0"/>
                    <w:suppressLineNumbers w:val="0"/>
                    <w:spacing w:before="0" w:beforeAutospacing="0" w:after="0" w:afterAutospacing="0" w:line="280" w:lineRule="exact"/>
                    <w:ind w:left="0" w:right="0"/>
                    <w:jc w:val="center"/>
                    <w:rPr>
                      <w:rFonts w:hint="default"/>
                      <w:color w:val="auto"/>
                      <w:sz w:val="18"/>
                      <w:szCs w:val="18"/>
                      <w:highlight w:val="yellow"/>
                    </w:rPr>
                  </w:pPr>
                  <w:r>
                    <w:rPr>
                      <w:rFonts w:hint="eastAsia"/>
                      <w:color w:val="auto"/>
                      <w:sz w:val="18"/>
                      <w:szCs w:val="18"/>
                      <w:highlight w:val="none"/>
                    </w:rPr>
                    <w:t>活性炭</w:t>
                  </w:r>
                </w:p>
              </w:tc>
              <w:tc>
                <w:tcPr>
                  <w:tcW w:w="1559" w:type="dxa"/>
                  <w:vAlign w:val="center"/>
                </w:tcPr>
                <w:p w14:paraId="5A2DC9EB">
                  <w:pPr>
                    <w:keepNext w:val="0"/>
                    <w:keepLines w:val="0"/>
                    <w:suppressLineNumbers w:val="0"/>
                    <w:spacing w:before="0" w:beforeAutospacing="0" w:after="0" w:afterAutospacing="0" w:line="280" w:lineRule="exact"/>
                    <w:ind w:left="-90" w:right="0"/>
                    <w:jc w:val="center"/>
                    <w:rPr>
                      <w:rFonts w:hint="default" w:eastAsia="宋体"/>
                      <w:color w:val="auto"/>
                      <w:sz w:val="18"/>
                      <w:szCs w:val="18"/>
                      <w:highlight w:val="yellow"/>
                      <w:lang w:val="en-US" w:eastAsia="zh-CN"/>
                    </w:rPr>
                  </w:pPr>
                  <w:r>
                    <w:rPr>
                      <w:rFonts w:hint="eastAsia"/>
                      <w:color w:val="auto"/>
                      <w:sz w:val="18"/>
                      <w:szCs w:val="18"/>
                      <w:highlight w:val="none"/>
                      <w:lang w:val="en-US" w:eastAsia="zh-CN"/>
                    </w:rPr>
                    <w:t>0.3t/a</w:t>
                  </w:r>
                </w:p>
              </w:tc>
              <w:tc>
                <w:tcPr>
                  <w:tcW w:w="1579" w:type="dxa"/>
                  <w:vMerge w:val="continue"/>
                  <w:vAlign w:val="center"/>
                </w:tcPr>
                <w:p w14:paraId="72C4E974">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14:paraId="14D80BDB">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w:t>
                  </w:r>
                </w:p>
              </w:tc>
            </w:tr>
            <w:tr w14:paraId="1D9A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continue"/>
                  <w:vAlign w:val="center"/>
                </w:tcPr>
                <w:p w14:paraId="324BEE78">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14:paraId="0BFC8121">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eastAsia"/>
                      <w:color w:val="auto"/>
                      <w:sz w:val="18"/>
                      <w:szCs w:val="18"/>
                      <w:lang w:eastAsia="zh-CN"/>
                    </w:rPr>
                    <w:t>消毒剂</w:t>
                  </w:r>
                  <w:r>
                    <w:rPr>
                      <w:rFonts w:hint="default"/>
                      <w:color w:val="auto"/>
                      <w:sz w:val="18"/>
                      <w:szCs w:val="18"/>
                    </w:rPr>
                    <w:t>（戊二醛）</w:t>
                  </w:r>
                </w:p>
              </w:tc>
              <w:tc>
                <w:tcPr>
                  <w:tcW w:w="1559" w:type="dxa"/>
                  <w:vAlign w:val="center"/>
                </w:tcPr>
                <w:p w14:paraId="6AAE1ED6">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6</w:t>
                  </w:r>
                  <w:r>
                    <w:rPr>
                      <w:rFonts w:hint="default"/>
                      <w:color w:val="auto"/>
                      <w:sz w:val="18"/>
                      <w:szCs w:val="18"/>
                    </w:rPr>
                    <w:t>0瓶（500m</w:t>
                  </w:r>
                  <w:r>
                    <w:rPr>
                      <w:rFonts w:hint="eastAsia"/>
                      <w:color w:val="auto"/>
                      <w:sz w:val="18"/>
                      <w:szCs w:val="18"/>
                    </w:rPr>
                    <w:t>L</w:t>
                  </w:r>
                  <w:r>
                    <w:rPr>
                      <w:rFonts w:hint="default"/>
                      <w:color w:val="auto"/>
                      <w:sz w:val="18"/>
                      <w:szCs w:val="18"/>
                    </w:rPr>
                    <w:t>/瓶）</w:t>
                  </w:r>
                </w:p>
              </w:tc>
              <w:tc>
                <w:tcPr>
                  <w:tcW w:w="1579" w:type="dxa"/>
                  <w:vMerge w:val="continue"/>
                  <w:vAlign w:val="center"/>
                </w:tcPr>
                <w:p w14:paraId="515D0098">
                  <w:pPr>
                    <w:keepNext w:val="0"/>
                    <w:keepLines w:val="0"/>
                    <w:suppressLineNumbers w:val="0"/>
                    <w:spacing w:before="0" w:beforeAutospacing="0" w:after="0" w:afterAutospacing="0" w:line="280" w:lineRule="exact"/>
                    <w:ind w:left="-90" w:right="0"/>
                    <w:jc w:val="center"/>
                    <w:rPr>
                      <w:rFonts w:hint="default"/>
                      <w:color w:val="auto"/>
                      <w:sz w:val="18"/>
                      <w:szCs w:val="18"/>
                    </w:rPr>
                  </w:pPr>
                </w:p>
              </w:tc>
              <w:tc>
                <w:tcPr>
                  <w:tcW w:w="1909" w:type="dxa"/>
                  <w:vAlign w:val="center"/>
                </w:tcPr>
                <w:p w14:paraId="36C0B93F">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20％戊二醛溶液</w:t>
                  </w:r>
                </w:p>
              </w:tc>
            </w:tr>
            <w:tr w14:paraId="0EECD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672" w:type="dxa"/>
                  <w:vMerge w:val="restart"/>
                  <w:vAlign w:val="center"/>
                </w:tcPr>
                <w:p w14:paraId="6E3C8FC9">
                  <w:pPr>
                    <w:keepNext w:val="0"/>
                    <w:keepLines w:val="0"/>
                    <w:suppressLineNumbers w:val="0"/>
                    <w:spacing w:before="0" w:beforeAutospacing="0" w:after="0" w:afterAutospacing="0" w:line="280" w:lineRule="exact"/>
                    <w:ind w:left="0" w:right="0"/>
                    <w:jc w:val="center"/>
                    <w:rPr>
                      <w:rFonts w:hint="default"/>
                      <w:bCs/>
                      <w:color w:val="auto"/>
                      <w:sz w:val="18"/>
                      <w:szCs w:val="18"/>
                    </w:rPr>
                  </w:pPr>
                  <w:r>
                    <w:rPr>
                      <w:rFonts w:hint="default"/>
                      <w:bCs/>
                      <w:color w:val="auto"/>
                      <w:sz w:val="18"/>
                      <w:szCs w:val="18"/>
                    </w:rPr>
                    <w:t>能耗</w:t>
                  </w:r>
                </w:p>
              </w:tc>
              <w:tc>
                <w:tcPr>
                  <w:tcW w:w="2081" w:type="dxa"/>
                  <w:vAlign w:val="center"/>
                </w:tcPr>
                <w:p w14:paraId="0856585E">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自来水</w:t>
                  </w:r>
                </w:p>
              </w:tc>
              <w:tc>
                <w:tcPr>
                  <w:tcW w:w="1559" w:type="dxa"/>
                  <w:vAlign w:val="center"/>
                </w:tcPr>
                <w:p w14:paraId="534DE57E">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1.21</w:t>
                  </w:r>
                  <w:r>
                    <w:rPr>
                      <w:rFonts w:hint="default"/>
                      <w:color w:val="auto"/>
                      <w:sz w:val="18"/>
                      <w:szCs w:val="18"/>
                    </w:rPr>
                    <w:t>万m</w:t>
                  </w:r>
                  <w:r>
                    <w:rPr>
                      <w:rFonts w:hint="default"/>
                      <w:color w:val="auto"/>
                      <w:sz w:val="18"/>
                      <w:szCs w:val="18"/>
                      <w:vertAlign w:val="superscript"/>
                    </w:rPr>
                    <w:t>3</w:t>
                  </w:r>
                </w:p>
              </w:tc>
              <w:tc>
                <w:tcPr>
                  <w:tcW w:w="1579" w:type="dxa"/>
                  <w:vAlign w:val="center"/>
                </w:tcPr>
                <w:p w14:paraId="68AC556C">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达州市供水公司</w:t>
                  </w:r>
                </w:p>
              </w:tc>
              <w:tc>
                <w:tcPr>
                  <w:tcW w:w="1909" w:type="dxa"/>
                  <w:vAlign w:val="center"/>
                </w:tcPr>
                <w:p w14:paraId="20C51750">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H</w:t>
                  </w:r>
                  <w:r>
                    <w:rPr>
                      <w:rFonts w:hint="default"/>
                      <w:color w:val="auto"/>
                      <w:sz w:val="18"/>
                      <w:szCs w:val="18"/>
                      <w:vertAlign w:val="subscript"/>
                    </w:rPr>
                    <w:t>2</w:t>
                  </w:r>
                  <w:r>
                    <w:rPr>
                      <w:rFonts w:hint="default"/>
                      <w:color w:val="auto"/>
                      <w:sz w:val="18"/>
                      <w:szCs w:val="18"/>
                    </w:rPr>
                    <w:t>O</w:t>
                  </w:r>
                </w:p>
              </w:tc>
            </w:tr>
            <w:tr w14:paraId="5537B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672" w:type="dxa"/>
                  <w:vMerge w:val="continue"/>
                  <w:vAlign w:val="center"/>
                </w:tcPr>
                <w:p w14:paraId="54414751">
                  <w:pPr>
                    <w:keepNext w:val="0"/>
                    <w:keepLines w:val="0"/>
                    <w:suppressLineNumbers w:val="0"/>
                    <w:spacing w:before="0" w:beforeAutospacing="0" w:after="0" w:afterAutospacing="0" w:line="280" w:lineRule="exact"/>
                    <w:ind w:left="0" w:right="0"/>
                    <w:jc w:val="center"/>
                    <w:rPr>
                      <w:rFonts w:hint="default"/>
                      <w:bCs/>
                      <w:color w:val="auto"/>
                      <w:sz w:val="18"/>
                      <w:szCs w:val="18"/>
                    </w:rPr>
                  </w:pPr>
                </w:p>
              </w:tc>
              <w:tc>
                <w:tcPr>
                  <w:tcW w:w="2081" w:type="dxa"/>
                  <w:vAlign w:val="center"/>
                </w:tcPr>
                <w:p w14:paraId="12AFDD07">
                  <w:pPr>
                    <w:keepNext w:val="0"/>
                    <w:keepLines w:val="0"/>
                    <w:suppressLineNumbers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电</w:t>
                  </w:r>
                </w:p>
              </w:tc>
              <w:tc>
                <w:tcPr>
                  <w:tcW w:w="1559" w:type="dxa"/>
                  <w:vAlign w:val="center"/>
                </w:tcPr>
                <w:p w14:paraId="14577C22">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eastAsia"/>
                      <w:color w:val="auto"/>
                      <w:sz w:val="18"/>
                      <w:szCs w:val="18"/>
                    </w:rPr>
                    <w:t>20</w:t>
                  </w:r>
                  <w:r>
                    <w:rPr>
                      <w:rFonts w:hint="default"/>
                      <w:color w:val="auto"/>
                      <w:sz w:val="18"/>
                      <w:szCs w:val="18"/>
                    </w:rPr>
                    <w:t>万度</w:t>
                  </w:r>
                </w:p>
              </w:tc>
              <w:tc>
                <w:tcPr>
                  <w:tcW w:w="1579" w:type="dxa"/>
                  <w:vAlign w:val="center"/>
                </w:tcPr>
                <w:p w14:paraId="57616BFA">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达州市电力公司</w:t>
                  </w:r>
                </w:p>
              </w:tc>
              <w:tc>
                <w:tcPr>
                  <w:tcW w:w="1909" w:type="dxa"/>
                  <w:vAlign w:val="center"/>
                </w:tcPr>
                <w:p w14:paraId="57A27D4F">
                  <w:pPr>
                    <w:keepNext w:val="0"/>
                    <w:keepLines w:val="0"/>
                    <w:suppressLineNumbers w:val="0"/>
                    <w:spacing w:before="0" w:beforeAutospacing="0" w:after="0" w:afterAutospacing="0" w:line="280" w:lineRule="exact"/>
                    <w:ind w:left="-90" w:right="0"/>
                    <w:jc w:val="center"/>
                    <w:rPr>
                      <w:rFonts w:hint="default"/>
                      <w:color w:val="auto"/>
                      <w:sz w:val="18"/>
                      <w:szCs w:val="18"/>
                    </w:rPr>
                  </w:pPr>
                  <w:r>
                    <w:rPr>
                      <w:rFonts w:hint="default"/>
                      <w:color w:val="auto"/>
                      <w:sz w:val="18"/>
                      <w:szCs w:val="18"/>
                    </w:rPr>
                    <w:t>/</w:t>
                  </w:r>
                </w:p>
              </w:tc>
            </w:tr>
          </w:tbl>
          <w:p w14:paraId="2628FA1D">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textAlignment w:val="auto"/>
              <w:rPr>
                <w:rFonts w:hint="default"/>
                <w:color w:val="auto"/>
                <w:kern w:val="0"/>
                <w:lang w:val="zh-CN"/>
              </w:rPr>
            </w:pPr>
            <w:r>
              <w:rPr>
                <w:rFonts w:hint="default"/>
                <w:color w:val="auto"/>
                <w:kern w:val="0"/>
                <w:lang w:val="zh-CN"/>
              </w:rPr>
              <w:t>部分物质简要介绍：</w:t>
            </w:r>
          </w:p>
          <w:p w14:paraId="732FB145">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textAlignment w:val="auto"/>
              <w:rPr>
                <w:rFonts w:hint="default"/>
                <w:bCs/>
                <w:color w:val="auto"/>
              </w:rPr>
            </w:pPr>
            <w:r>
              <w:rPr>
                <w:rFonts w:hint="default"/>
                <w:bCs/>
                <w:color w:val="auto"/>
              </w:rPr>
              <w:t>“84”</w:t>
            </w:r>
            <w:r>
              <w:rPr>
                <w:rFonts w:hint="eastAsia"/>
                <w:bCs/>
                <w:color w:val="auto"/>
                <w:lang w:eastAsia="zh-CN"/>
              </w:rPr>
              <w:t>消毒剂</w:t>
            </w:r>
            <w:r>
              <w:rPr>
                <w:rFonts w:hint="default"/>
                <w:bCs/>
                <w:color w:val="auto"/>
              </w:rPr>
              <w:t>：84消毒液是一种以次氯酸钠为主的高效</w:t>
            </w:r>
            <w:r>
              <w:rPr>
                <w:rFonts w:hint="eastAsia"/>
                <w:bCs/>
                <w:color w:val="auto"/>
                <w:lang w:eastAsia="zh-CN"/>
              </w:rPr>
              <w:t>消毒剂</w:t>
            </w:r>
            <w:r>
              <w:rPr>
                <w:rFonts w:hint="default"/>
                <w:bCs/>
                <w:color w:val="auto"/>
              </w:rPr>
              <w:t>，主要成分为次氯酸钠（NaClO）。无色或淡黄色液体，有效氯含量5.5～6.5%。被广</w:t>
            </w:r>
            <w:r>
              <w:rPr>
                <w:rFonts w:hint="default"/>
                <w:bCs/>
                <w:color w:val="auto"/>
                <w:spacing w:val="-4"/>
              </w:rPr>
              <w:t>泛用于宾馆、旅游、医院、食品加工行业、家庭等的卫生消毒。</w:t>
            </w:r>
          </w:p>
          <w:p w14:paraId="784B7968">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jc w:val="left"/>
              <w:textAlignment w:val="auto"/>
              <w:rPr>
                <w:rFonts w:hint="default"/>
                <w:color w:val="auto"/>
                <w:spacing w:val="8"/>
              </w:rPr>
            </w:pPr>
            <w:r>
              <w:rPr>
                <w:rFonts w:hint="eastAsia"/>
                <w:bCs/>
                <w:color w:val="auto"/>
                <w:lang w:eastAsia="zh-CN"/>
              </w:rPr>
              <w:t>消毒剂</w:t>
            </w:r>
            <w:r>
              <w:rPr>
                <w:rFonts w:hint="default"/>
                <w:bCs/>
                <w:color w:val="auto"/>
              </w:rPr>
              <w:t>（戊二醛）：分子式为C</w:t>
            </w:r>
            <w:r>
              <w:rPr>
                <w:rFonts w:hint="default"/>
                <w:bCs/>
                <w:color w:val="auto"/>
                <w:vertAlign w:val="subscript"/>
              </w:rPr>
              <w:t>5</w:t>
            </w:r>
            <w:r>
              <w:rPr>
                <w:rFonts w:hint="default"/>
                <w:bCs/>
                <w:color w:val="auto"/>
              </w:rPr>
              <w:t>H</w:t>
            </w:r>
            <w:r>
              <w:rPr>
                <w:rFonts w:hint="default"/>
                <w:bCs/>
                <w:color w:val="auto"/>
                <w:vertAlign w:val="subscript"/>
              </w:rPr>
              <w:t>8</w:t>
            </w:r>
            <w:r>
              <w:rPr>
                <w:rFonts w:hint="default"/>
                <w:bCs/>
                <w:color w:val="auto"/>
              </w:rPr>
              <w:t>O</w:t>
            </w:r>
            <w:r>
              <w:rPr>
                <w:rFonts w:hint="default"/>
                <w:bCs/>
                <w:color w:val="auto"/>
                <w:vertAlign w:val="subscript"/>
              </w:rPr>
              <w:t>2</w:t>
            </w:r>
            <w:r>
              <w:rPr>
                <w:rFonts w:hint="default"/>
                <w:bCs/>
                <w:color w:val="auto"/>
              </w:rPr>
              <w:t>，带有刺激性气味的无色透明油状液体，溶于热水。用作杀菌剂，也用于皮革鞣制。对眼睛、皮肤和黏膜有强烈的刺激作用。</w:t>
            </w:r>
            <w:r>
              <w:rPr>
                <w:rFonts w:hint="default"/>
                <w:color w:val="auto"/>
                <w:spacing w:val="8"/>
              </w:rPr>
              <w:t>戊二醛属高效</w:t>
            </w:r>
            <w:r>
              <w:rPr>
                <w:rFonts w:hint="eastAsia"/>
                <w:color w:val="auto"/>
                <w:lang w:eastAsia="zh-CN"/>
              </w:rPr>
              <w:t>消毒剂</w:t>
            </w:r>
            <w:r>
              <w:rPr>
                <w:rFonts w:hint="default"/>
                <w:color w:val="auto"/>
                <w:spacing w:val="8"/>
              </w:rPr>
              <w:t>，具有广谱、高效、低毒、对金属腐蚀性小、受有机物影响小、</w:t>
            </w:r>
            <w:r>
              <w:rPr>
                <w:rFonts w:hint="eastAsia"/>
                <w:color w:val="auto"/>
                <w:lang w:eastAsia="zh-CN"/>
              </w:rPr>
              <w:t>稳定性</w:t>
            </w:r>
            <w:r>
              <w:rPr>
                <w:rFonts w:hint="default"/>
                <w:color w:val="auto"/>
                <w:spacing w:val="8"/>
              </w:rPr>
              <w:t>好等特点。</w:t>
            </w:r>
          </w:p>
          <w:p w14:paraId="5ED79090">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52" w:firstLineChars="200"/>
              <w:jc w:val="left"/>
              <w:textAlignment w:val="auto"/>
              <w:rPr>
                <w:rFonts w:hint="default"/>
                <w:color w:val="auto"/>
              </w:rPr>
            </w:pPr>
            <w:r>
              <w:rPr>
                <w:rFonts w:hint="eastAsia"/>
                <w:color w:val="auto"/>
                <w:spacing w:val="8"/>
              </w:rPr>
              <w:t>透析液：透析液是一类含有多种离子和非离子的水溶液，具有一定的渗透常用于血液透析的治疗中，主要利用溶质依靠浓度梯度从高浓度一侧向低浓展的原理来清理血液P的代谢废物。血液透析中使用A、B两种透析液,A透析液的主要我分为NaC1、KCI、CaCl、MgCl、醋酸;B透析液的主要成分为NaHCO</w:t>
            </w:r>
            <w:r>
              <w:rPr>
                <w:rFonts w:hint="eastAsia"/>
                <w:color w:val="auto"/>
                <w:spacing w:val="8"/>
                <w:vertAlign w:val="subscript"/>
              </w:rPr>
              <w:t>3</w:t>
            </w:r>
            <w:r>
              <w:rPr>
                <w:rFonts w:hint="eastAsia"/>
                <w:color w:val="auto"/>
                <w:spacing w:val="8"/>
              </w:rPr>
              <w:t>和NaCl。</w:t>
            </w:r>
          </w:p>
          <w:p w14:paraId="6DC7BA7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jc w:val="left"/>
              <w:textAlignment w:val="auto"/>
              <w:rPr>
                <w:rFonts w:hint="default" w:eastAsia="黑体" w:cs="宋体"/>
                <w:color w:val="auto"/>
                <w:kern w:val="0"/>
              </w:rPr>
            </w:pPr>
            <w:r>
              <w:rPr>
                <w:rFonts w:hint="eastAsia" w:eastAsia="黑体" w:cs="宋体"/>
                <w:color w:val="auto"/>
                <w:kern w:val="0"/>
              </w:rPr>
              <w:t>6</w:t>
            </w:r>
            <w:r>
              <w:rPr>
                <w:rFonts w:hint="default" w:eastAsia="黑体" w:cs="宋体"/>
                <w:color w:val="auto"/>
                <w:kern w:val="0"/>
              </w:rPr>
              <w:t>、水平衡分析</w:t>
            </w:r>
          </w:p>
          <w:p w14:paraId="031CF85A">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textAlignment w:val="auto"/>
              <w:rPr>
                <w:rFonts w:hint="default" w:cs="宋体" w:eastAsiaTheme="minorEastAsia"/>
                <w:color w:val="auto"/>
                <w:kern w:val="0"/>
              </w:rPr>
            </w:pPr>
            <w:r>
              <w:rPr>
                <w:rFonts w:hint="default" w:eastAsiaTheme="minorEastAsia"/>
                <w:bCs/>
                <w:color w:val="auto"/>
                <w:lang w:val="zh-CN"/>
              </w:rPr>
              <w:t>（1）</w:t>
            </w:r>
            <w:r>
              <w:rPr>
                <w:rFonts w:hint="eastAsia" w:cs="宋体" w:eastAsiaTheme="minorEastAsia"/>
                <w:color w:val="auto"/>
                <w:kern w:val="0"/>
              </w:rPr>
              <w:t>用水、废水产生情况</w:t>
            </w:r>
          </w:p>
          <w:p w14:paraId="51C0545B">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textAlignment w:val="auto"/>
              <w:rPr>
                <w:rFonts w:hint="default" w:cs="宋体"/>
                <w:color w:val="auto"/>
                <w:kern w:val="0"/>
              </w:rPr>
            </w:pPr>
            <w:r>
              <w:rPr>
                <w:rFonts w:hint="eastAsia" w:cs="宋体"/>
                <w:color w:val="auto"/>
                <w:kern w:val="0"/>
              </w:rPr>
              <w:t>本项目实施后，拟以满负荷情况核算其用水及废水产生情况。</w:t>
            </w:r>
          </w:p>
          <w:p w14:paraId="3E97C917">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textAlignment w:val="auto"/>
              <w:rPr>
                <w:rFonts w:hint="default"/>
                <w:color w:val="auto"/>
                <w:kern w:val="0"/>
              </w:rPr>
            </w:pPr>
            <w:r>
              <w:rPr>
                <w:rFonts w:hint="eastAsia" w:cs="宋体"/>
                <w:color w:val="auto"/>
                <w:kern w:val="0"/>
              </w:rPr>
              <w:t>①</w:t>
            </w:r>
            <w:r>
              <w:rPr>
                <w:rFonts w:hint="default"/>
                <w:color w:val="auto"/>
                <w:kern w:val="0"/>
              </w:rPr>
              <w:t>医疗用水</w:t>
            </w:r>
          </w:p>
          <w:p w14:paraId="769B617C">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textAlignment w:val="auto"/>
              <w:rPr>
                <w:rFonts w:hint="default"/>
                <w:color w:val="auto"/>
                <w:kern w:val="0"/>
              </w:rPr>
            </w:pPr>
            <w:r>
              <w:rPr>
                <w:rFonts w:hint="default"/>
                <w:color w:val="auto"/>
                <w:kern w:val="0"/>
              </w:rPr>
              <w:t>根据《</w:t>
            </w:r>
            <w:r>
              <w:rPr>
                <w:rFonts w:hint="eastAsia"/>
                <w:color w:val="auto"/>
                <w:kern w:val="0"/>
              </w:rPr>
              <w:t>医院污水处理工程技术规范</w:t>
            </w:r>
            <w:r>
              <w:rPr>
                <w:rFonts w:hint="default"/>
                <w:color w:val="auto"/>
                <w:kern w:val="0"/>
              </w:rPr>
              <w:t>》</w:t>
            </w:r>
            <w:r>
              <w:rPr>
                <w:rFonts w:hint="eastAsia"/>
                <w:color w:val="auto"/>
                <w:kern w:val="0"/>
              </w:rPr>
              <w:t>（HJ2029-2013）</w:t>
            </w:r>
            <w:r>
              <w:rPr>
                <w:rFonts w:hint="default"/>
                <w:color w:val="auto"/>
                <w:kern w:val="0"/>
              </w:rPr>
              <w:t>中第</w:t>
            </w:r>
            <w:r>
              <w:rPr>
                <w:rFonts w:hint="eastAsia"/>
                <w:color w:val="auto"/>
                <w:kern w:val="0"/>
              </w:rPr>
              <w:t>4.2.2</w:t>
            </w:r>
            <w:r>
              <w:rPr>
                <w:rFonts w:hint="default"/>
                <w:color w:val="auto"/>
                <w:kern w:val="0"/>
              </w:rPr>
              <w:t>条：</w:t>
            </w:r>
            <w:r>
              <w:rPr>
                <w:rFonts w:hint="eastAsia"/>
                <w:color w:val="auto"/>
                <w:kern w:val="0"/>
              </w:rPr>
              <w:t>新建医院污水处理系统设计水量亦可按日均污水量和日变化系数经验数据计算，计算公式如下：</w:t>
            </w:r>
          </w:p>
          <w:p w14:paraId="0D737C86">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textAlignment w:val="auto"/>
              <w:rPr>
                <w:rFonts w:hint="default"/>
                <w:color w:val="auto"/>
                <w:kern w:val="0"/>
              </w:rPr>
            </w:pPr>
            <w:r>
              <w:rPr>
                <w:rFonts w:hint="eastAsia"/>
                <w:color w:val="auto"/>
                <w:kern w:val="0"/>
              </w:rPr>
              <w:t>a）N≥500床的设备齐全的大型医院，q=400L/床·d～600L/床·d，Kd＝2.0～2.2；</w:t>
            </w:r>
          </w:p>
          <w:p w14:paraId="5D6473EC">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textAlignment w:val="auto"/>
              <w:rPr>
                <w:rFonts w:hint="default"/>
                <w:color w:val="auto"/>
                <w:kern w:val="0"/>
              </w:rPr>
            </w:pPr>
            <w:r>
              <w:rPr>
                <w:rFonts w:hint="eastAsia"/>
                <w:color w:val="auto"/>
                <w:kern w:val="0"/>
              </w:rPr>
              <w:t>b）100床＜N≤499床的一般设备的中型医院，q= 300L/床·d～400L/床·d，Kd＝2.2～2.5；</w:t>
            </w:r>
          </w:p>
          <w:p w14:paraId="584BF5A3">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textAlignment w:val="auto"/>
              <w:rPr>
                <w:rFonts w:hint="default"/>
                <w:color w:val="auto"/>
                <w:kern w:val="0"/>
              </w:rPr>
            </w:pPr>
            <w:r>
              <w:rPr>
                <w:rFonts w:hint="eastAsia"/>
                <w:color w:val="auto"/>
                <w:kern w:val="0"/>
              </w:rPr>
              <w:t>c）N＜100床的小型医院，q= 250 L/床·d～300L/床·d，Kd＝2.5。</w:t>
            </w:r>
          </w:p>
          <w:p w14:paraId="4F8735B4">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textAlignment w:val="auto"/>
              <w:rPr>
                <w:rFonts w:hint="default"/>
                <w:color w:val="auto"/>
                <w:kern w:val="0"/>
              </w:rPr>
            </w:pPr>
            <w:r>
              <w:rPr>
                <w:rFonts w:hint="eastAsia"/>
                <w:color w:val="auto"/>
                <w:kern w:val="0"/>
              </w:rPr>
              <w:t>根据《四川省用水定额》（川府函[2021]8号），门诊病人用水量取15L/（人·次）。</w:t>
            </w:r>
            <w:r>
              <w:rPr>
                <w:rFonts w:hint="default"/>
                <w:color w:val="auto"/>
                <w:kern w:val="0"/>
              </w:rPr>
              <w:t>本项目拟设床位</w:t>
            </w:r>
            <w:r>
              <w:rPr>
                <w:rFonts w:hint="eastAsia"/>
                <w:color w:val="auto"/>
                <w:kern w:val="0"/>
              </w:rPr>
              <w:t>8</w:t>
            </w:r>
            <w:r>
              <w:rPr>
                <w:rFonts w:hint="default"/>
                <w:color w:val="auto"/>
                <w:kern w:val="0"/>
              </w:rPr>
              <w:t>0张，用水量取</w:t>
            </w:r>
            <w:r>
              <w:rPr>
                <w:rFonts w:hint="eastAsia"/>
                <w:color w:val="auto"/>
                <w:kern w:val="0"/>
              </w:rPr>
              <w:t>30</w:t>
            </w:r>
            <w:r>
              <w:rPr>
                <w:rFonts w:hint="default"/>
                <w:color w:val="auto"/>
                <w:kern w:val="0"/>
              </w:rPr>
              <w:t>0L/床·d，则</w:t>
            </w:r>
            <w:r>
              <w:rPr>
                <w:rFonts w:hint="eastAsia"/>
                <w:color w:val="auto"/>
                <w:kern w:val="0"/>
              </w:rPr>
              <w:t>用水量为24</w:t>
            </w:r>
            <w:r>
              <w:rPr>
                <w:rFonts w:hint="default"/>
                <w:color w:val="auto"/>
                <w:kern w:val="0"/>
              </w:rPr>
              <w:t>m</w:t>
            </w:r>
            <w:r>
              <w:rPr>
                <w:rFonts w:hint="default"/>
                <w:color w:val="auto"/>
                <w:kern w:val="0"/>
                <w:vertAlign w:val="superscript"/>
              </w:rPr>
              <w:t>3</w:t>
            </w:r>
            <w:r>
              <w:rPr>
                <w:rFonts w:hint="default"/>
                <w:color w:val="auto"/>
                <w:kern w:val="0"/>
              </w:rPr>
              <w:t>/d（</w:t>
            </w:r>
            <w:r>
              <w:rPr>
                <w:rFonts w:hint="eastAsia"/>
                <w:color w:val="auto"/>
                <w:kern w:val="0"/>
              </w:rPr>
              <w:t>8760</w:t>
            </w:r>
            <w:r>
              <w:rPr>
                <w:rFonts w:hint="default"/>
                <w:color w:val="auto"/>
                <w:kern w:val="0"/>
              </w:rPr>
              <w:t>m</w:t>
            </w:r>
            <w:r>
              <w:rPr>
                <w:rFonts w:hint="default"/>
                <w:color w:val="auto"/>
                <w:kern w:val="0"/>
                <w:vertAlign w:val="superscript"/>
              </w:rPr>
              <w:t>3</w:t>
            </w:r>
            <w:r>
              <w:rPr>
                <w:rFonts w:hint="default"/>
                <w:color w:val="auto"/>
                <w:kern w:val="0"/>
              </w:rPr>
              <w:t>/a）；排水量</w:t>
            </w:r>
            <w:r>
              <w:rPr>
                <w:rFonts w:hint="eastAsia"/>
                <w:color w:val="auto"/>
                <w:kern w:val="0"/>
              </w:rPr>
              <w:t>270</w:t>
            </w:r>
            <w:r>
              <w:rPr>
                <w:rFonts w:hint="default"/>
                <w:color w:val="auto"/>
                <w:kern w:val="0"/>
              </w:rPr>
              <w:t>L/床·d，废水排放量为</w:t>
            </w:r>
            <w:r>
              <w:rPr>
                <w:rFonts w:hint="eastAsia"/>
                <w:color w:val="auto"/>
                <w:kern w:val="0"/>
              </w:rPr>
              <w:t>21.6</w:t>
            </w:r>
            <w:r>
              <w:rPr>
                <w:rFonts w:hint="default"/>
                <w:color w:val="auto"/>
                <w:kern w:val="0"/>
              </w:rPr>
              <w:t>m</w:t>
            </w:r>
            <w:r>
              <w:rPr>
                <w:rFonts w:hint="default"/>
                <w:color w:val="auto"/>
                <w:kern w:val="0"/>
                <w:vertAlign w:val="superscript"/>
              </w:rPr>
              <w:t>3</w:t>
            </w:r>
            <w:r>
              <w:rPr>
                <w:rFonts w:hint="default"/>
                <w:color w:val="auto"/>
                <w:kern w:val="0"/>
              </w:rPr>
              <w:t>/d（</w:t>
            </w:r>
            <w:r>
              <w:rPr>
                <w:rFonts w:hint="eastAsia"/>
                <w:color w:val="auto"/>
                <w:kern w:val="0"/>
              </w:rPr>
              <w:t>7884</w:t>
            </w:r>
            <w:r>
              <w:rPr>
                <w:rFonts w:hint="default"/>
                <w:color w:val="auto"/>
                <w:kern w:val="0"/>
              </w:rPr>
              <w:t>m</w:t>
            </w:r>
            <w:r>
              <w:rPr>
                <w:rFonts w:hint="default"/>
                <w:color w:val="auto"/>
                <w:kern w:val="0"/>
                <w:vertAlign w:val="superscript"/>
              </w:rPr>
              <w:t>3</w:t>
            </w:r>
            <w:r>
              <w:rPr>
                <w:rFonts w:hint="default"/>
                <w:color w:val="auto"/>
                <w:kern w:val="0"/>
              </w:rPr>
              <w:t>/a）</w:t>
            </w:r>
            <w:r>
              <w:rPr>
                <w:rFonts w:hint="eastAsia"/>
                <w:color w:val="auto"/>
                <w:kern w:val="0"/>
              </w:rPr>
              <w:t>。门诊人数按20人/d计，则门诊用水量为0.3</w:t>
            </w:r>
            <w:r>
              <w:rPr>
                <w:rFonts w:hint="default"/>
                <w:color w:val="auto"/>
                <w:kern w:val="0"/>
              </w:rPr>
              <w:t>m</w:t>
            </w:r>
            <w:r>
              <w:rPr>
                <w:rFonts w:hint="default"/>
                <w:color w:val="auto"/>
                <w:kern w:val="0"/>
                <w:vertAlign w:val="superscript"/>
              </w:rPr>
              <w:t>3</w:t>
            </w:r>
            <w:r>
              <w:rPr>
                <w:rFonts w:hint="default"/>
                <w:color w:val="auto"/>
                <w:kern w:val="0"/>
              </w:rPr>
              <w:t>/d，产污系数取</w:t>
            </w:r>
            <w:r>
              <w:rPr>
                <w:rFonts w:hint="eastAsia"/>
                <w:color w:val="auto"/>
                <w:kern w:val="0"/>
              </w:rPr>
              <w:t>0.9，</w:t>
            </w:r>
            <w:r>
              <w:rPr>
                <w:rFonts w:hint="default"/>
                <w:color w:val="auto"/>
                <w:kern w:val="0"/>
              </w:rPr>
              <w:t>废水产生量为</w:t>
            </w:r>
            <w:r>
              <w:rPr>
                <w:rFonts w:hint="eastAsia"/>
                <w:color w:val="auto"/>
                <w:kern w:val="0"/>
              </w:rPr>
              <w:t>0.27</w:t>
            </w:r>
            <w:r>
              <w:rPr>
                <w:rFonts w:hint="default"/>
                <w:color w:val="auto"/>
                <w:kern w:val="0"/>
              </w:rPr>
              <w:t>m</w:t>
            </w:r>
            <w:r>
              <w:rPr>
                <w:rFonts w:hint="default"/>
                <w:color w:val="auto"/>
                <w:kern w:val="0"/>
                <w:vertAlign w:val="superscript"/>
              </w:rPr>
              <w:t>3</w:t>
            </w:r>
            <w:r>
              <w:rPr>
                <w:rFonts w:hint="default"/>
                <w:color w:val="auto"/>
                <w:kern w:val="0"/>
              </w:rPr>
              <w:t>/d。</w:t>
            </w:r>
          </w:p>
          <w:p w14:paraId="22FAFAAD">
            <w:pPr>
              <w:keepNext w:val="0"/>
              <w:keepLines w:val="0"/>
              <w:pageBreakBefore w:val="0"/>
              <w:widowControl w:val="0"/>
              <w:suppressLineNumbers w:val="0"/>
              <w:kinsoku/>
              <w:wordWrap/>
              <w:overflowPunct/>
              <w:topLinePunct w:val="0"/>
              <w:bidi w:val="0"/>
              <w:spacing w:before="0" w:beforeAutospacing="0" w:after="0" w:afterAutospacing="0" w:line="400" w:lineRule="exact"/>
              <w:ind w:left="0" w:right="0" w:firstLine="420" w:firstLineChars="200"/>
              <w:textAlignment w:val="auto"/>
              <w:rPr>
                <w:rFonts w:hint="default"/>
                <w:color w:val="auto"/>
                <w:kern w:val="0"/>
              </w:rPr>
            </w:pPr>
            <w:r>
              <w:rPr>
                <w:rFonts w:hint="eastAsia"/>
                <w:color w:val="auto"/>
                <w:kern w:val="0"/>
              </w:rPr>
              <w:t>②血透中心用水</w:t>
            </w:r>
          </w:p>
          <w:p w14:paraId="43EA5DA6">
            <w:pPr>
              <w:keepNext w:val="0"/>
              <w:keepLines w:val="0"/>
              <w:suppressLineNumbers w:val="0"/>
              <w:spacing w:before="0" w:beforeAutospacing="0" w:after="0" w:afterAutospacing="0" w:line="440" w:lineRule="exact"/>
              <w:ind w:left="0" w:right="0" w:firstLine="420" w:firstLineChars="200"/>
              <w:rPr>
                <w:rFonts w:hint="default"/>
                <w:color w:val="auto"/>
                <w:kern w:val="0"/>
              </w:rPr>
            </w:pPr>
            <w:r>
              <w:rPr>
                <w:rFonts w:hint="eastAsia"/>
                <w:color w:val="auto"/>
                <w:kern w:val="0"/>
              </w:rPr>
              <w:t>血透中心用水包括纯水制备用水，纯水用于透析液配比、透析机清洗等。根据建设单位介绍，血透中心透析液配比纯水用量约0.204</w:t>
            </w:r>
            <w:r>
              <w:rPr>
                <w:rFonts w:hint="default"/>
                <w:color w:val="auto"/>
                <w:kern w:val="0"/>
              </w:rPr>
              <w:t>m</w:t>
            </w:r>
            <w:r>
              <w:rPr>
                <w:rFonts w:hint="default"/>
                <w:color w:val="auto"/>
                <w:kern w:val="0"/>
                <w:vertAlign w:val="superscript"/>
              </w:rPr>
              <w:t>3</w:t>
            </w:r>
            <w:r>
              <w:rPr>
                <w:rFonts w:hint="default"/>
                <w:color w:val="auto"/>
                <w:kern w:val="0"/>
              </w:rPr>
              <w:t>/d</w:t>
            </w:r>
            <w:r>
              <w:rPr>
                <w:rFonts w:hint="eastAsia"/>
                <w:color w:val="auto"/>
                <w:kern w:val="0"/>
              </w:rPr>
              <w:t>、透析过程和透析机清洗纯水用量约5.796</w:t>
            </w:r>
            <w:r>
              <w:rPr>
                <w:rFonts w:hint="default"/>
                <w:color w:val="auto"/>
                <w:kern w:val="0"/>
              </w:rPr>
              <w:t>m</w:t>
            </w:r>
            <w:r>
              <w:rPr>
                <w:rFonts w:hint="default"/>
                <w:color w:val="auto"/>
                <w:kern w:val="0"/>
                <w:vertAlign w:val="superscript"/>
              </w:rPr>
              <w:t>3</w:t>
            </w:r>
            <w:r>
              <w:rPr>
                <w:rFonts w:hint="default"/>
                <w:color w:val="auto"/>
                <w:kern w:val="0"/>
              </w:rPr>
              <w:t>/d</w:t>
            </w:r>
            <w:r>
              <w:rPr>
                <w:rFonts w:hint="eastAsia"/>
                <w:color w:val="auto"/>
                <w:kern w:val="0"/>
              </w:rPr>
              <w:t>，纯水制备率60%，则需自来水用量约10.0m</w:t>
            </w:r>
            <w:r>
              <w:rPr>
                <w:rFonts w:hint="eastAsia"/>
                <w:color w:val="auto"/>
                <w:kern w:val="0"/>
                <w:vertAlign w:val="superscript"/>
              </w:rPr>
              <w:t>3</w:t>
            </w:r>
            <w:r>
              <w:rPr>
                <w:rFonts w:hint="eastAsia"/>
                <w:color w:val="auto"/>
                <w:kern w:val="0"/>
              </w:rPr>
              <w:t>/d，则浓排水约4.0m</w:t>
            </w:r>
            <w:r>
              <w:rPr>
                <w:rFonts w:hint="eastAsia"/>
                <w:color w:val="auto"/>
                <w:kern w:val="0"/>
                <w:vertAlign w:val="superscript"/>
              </w:rPr>
              <w:t>3</w:t>
            </w:r>
            <w:r>
              <w:rPr>
                <w:rFonts w:hint="eastAsia"/>
                <w:color w:val="auto"/>
                <w:kern w:val="0"/>
              </w:rPr>
              <w:t>/d。</w:t>
            </w:r>
          </w:p>
          <w:p w14:paraId="04941A16">
            <w:pPr>
              <w:keepNext w:val="0"/>
              <w:keepLines w:val="0"/>
              <w:suppressLineNumbers w:val="0"/>
              <w:spacing w:before="0" w:beforeAutospacing="0" w:after="0" w:afterAutospacing="0" w:line="440" w:lineRule="exact"/>
              <w:ind w:left="0" w:right="0" w:firstLine="420" w:firstLineChars="200"/>
              <w:rPr>
                <w:rFonts w:hint="eastAsia"/>
                <w:color w:val="auto"/>
                <w:kern w:val="0"/>
              </w:rPr>
            </w:pPr>
            <w:r>
              <w:rPr>
                <w:rFonts w:hint="eastAsia"/>
                <w:color w:val="auto"/>
                <w:kern w:val="0"/>
              </w:rPr>
              <w:t>废水主要包括纯水制备时的废水、透析机使用前预冲洗废水、透析废水、透析后设备消毒和清洗废水。透析机使用前预冲洗废水：根据建设单位介绍，透析机使用前使用生理盐水预冲洗、透析结束后回血器用生理盐水冲洗，用水量均为15L/次·台。项目共设28台透析机，每台按1人次/天，则冲洗废水产生量为0.84m</w:t>
            </w:r>
            <w:r>
              <w:rPr>
                <w:rFonts w:hint="default"/>
                <w:color w:val="auto"/>
                <w:kern w:val="0"/>
                <w:vertAlign w:val="superscript"/>
              </w:rPr>
              <w:t>3</w:t>
            </w:r>
            <w:r>
              <w:rPr>
                <w:rFonts w:hint="default"/>
                <w:color w:val="auto"/>
                <w:kern w:val="0"/>
              </w:rPr>
              <w:t>/d</w:t>
            </w:r>
            <w:r>
              <w:rPr>
                <w:rFonts w:hint="eastAsia"/>
                <w:color w:val="auto"/>
                <w:kern w:val="0"/>
              </w:rPr>
              <w:t>。透析废水：根据建设单位介绍透析机运行时间8h，流量400mL/min，纯水用量为5.376m</w:t>
            </w:r>
            <w:r>
              <w:rPr>
                <w:rFonts w:hint="default"/>
                <w:color w:val="auto"/>
                <w:kern w:val="0"/>
                <w:vertAlign w:val="superscript"/>
              </w:rPr>
              <w:t>3</w:t>
            </w:r>
            <w:r>
              <w:rPr>
                <w:rFonts w:hint="default"/>
                <w:color w:val="auto"/>
                <w:kern w:val="0"/>
              </w:rPr>
              <w:t>/d</w:t>
            </w:r>
            <w:r>
              <w:rPr>
                <w:rFonts w:hint="eastAsia"/>
                <w:color w:val="auto"/>
                <w:kern w:val="0"/>
              </w:rPr>
              <w:t>，透析过程基本无消耗，则透析废水产生量为5.376m</w:t>
            </w:r>
            <w:r>
              <w:rPr>
                <w:rFonts w:hint="default"/>
                <w:color w:val="auto"/>
                <w:kern w:val="0"/>
                <w:vertAlign w:val="superscript"/>
              </w:rPr>
              <w:t>3</w:t>
            </w:r>
            <w:r>
              <w:rPr>
                <w:rFonts w:hint="default"/>
                <w:color w:val="auto"/>
                <w:kern w:val="0"/>
              </w:rPr>
              <w:t>/d</w:t>
            </w:r>
            <w:r>
              <w:rPr>
                <w:rFonts w:hint="eastAsia"/>
                <w:color w:val="auto"/>
                <w:kern w:val="0"/>
              </w:rPr>
              <w:t>。透析后设备消毒和清洗废水：当病人透析结束后，需对透析机内外机管路等进行消毒后再进行下一次的使用。</w:t>
            </w:r>
            <w:r>
              <w:rPr>
                <w:rFonts w:hint="eastAsia"/>
                <w:color w:val="auto"/>
                <w:kern w:val="0"/>
                <w:lang w:eastAsia="zh-CN"/>
              </w:rPr>
              <w:t>消毒剂</w:t>
            </w:r>
            <w:r>
              <w:rPr>
                <w:rFonts w:hint="eastAsia"/>
                <w:color w:val="auto"/>
                <w:kern w:val="0"/>
              </w:rPr>
              <w:t>采用5%次氯酸钠溶液进行消毒，消毒液在透析机内进行流动浸泡消毒约30min，后使用反渗透水冲洗透析机管道约30min。单台透析机每次清洗用水量为15L，每天清洗1次，则废水量为0.42m</w:t>
            </w:r>
            <w:r>
              <w:rPr>
                <w:rFonts w:hint="default"/>
                <w:color w:val="auto"/>
                <w:kern w:val="0"/>
                <w:vertAlign w:val="superscript"/>
              </w:rPr>
              <w:t>3</w:t>
            </w:r>
            <w:r>
              <w:rPr>
                <w:rFonts w:hint="default"/>
                <w:color w:val="auto"/>
                <w:kern w:val="0"/>
              </w:rPr>
              <w:t>/d</w:t>
            </w:r>
            <w:r>
              <w:rPr>
                <w:rFonts w:hint="eastAsia"/>
                <w:color w:val="auto"/>
                <w:kern w:val="0"/>
              </w:rPr>
              <w:t>。</w:t>
            </w:r>
          </w:p>
          <w:p w14:paraId="14E27CF5">
            <w:pPr>
              <w:keepNext w:val="0"/>
              <w:keepLines w:val="0"/>
              <w:suppressLineNumbers w:val="0"/>
              <w:spacing w:before="0" w:beforeAutospacing="0" w:after="0" w:afterAutospacing="0" w:line="440" w:lineRule="exact"/>
              <w:ind w:left="0" w:right="0" w:firstLine="420" w:firstLineChars="200"/>
              <w:rPr>
                <w:rFonts w:hint="default"/>
                <w:color w:val="auto"/>
                <w:kern w:val="0"/>
              </w:rPr>
            </w:pPr>
            <w:r>
              <w:rPr>
                <w:rFonts w:hint="eastAsia"/>
                <w:color w:val="auto"/>
                <w:kern w:val="0"/>
                <w:lang w:val="en-US" w:eastAsia="zh-CN"/>
              </w:rPr>
              <w:t>综上，血透中心废水产生量为6.636</w:t>
            </w:r>
            <w:r>
              <w:rPr>
                <w:rFonts w:hint="eastAsia"/>
                <w:color w:val="auto"/>
                <w:kern w:val="0"/>
              </w:rPr>
              <w:t>m</w:t>
            </w:r>
            <w:r>
              <w:rPr>
                <w:rFonts w:hint="default"/>
                <w:color w:val="auto"/>
                <w:kern w:val="0"/>
                <w:vertAlign w:val="superscript"/>
              </w:rPr>
              <w:t>3</w:t>
            </w:r>
            <w:r>
              <w:rPr>
                <w:rFonts w:hint="default"/>
                <w:color w:val="auto"/>
                <w:kern w:val="0"/>
              </w:rPr>
              <w:t>/d</w:t>
            </w:r>
            <w:r>
              <w:rPr>
                <w:rFonts w:hint="eastAsia"/>
                <w:color w:val="auto"/>
                <w:kern w:val="0"/>
                <w:lang w:eastAsia="zh-CN"/>
              </w:rPr>
              <w:t>，</w:t>
            </w:r>
            <w:r>
              <w:rPr>
                <w:rFonts w:hint="eastAsia"/>
                <w:color w:val="auto"/>
                <w:kern w:val="0"/>
                <w:lang w:val="en-US" w:eastAsia="zh-CN"/>
              </w:rPr>
              <w:t>其中阳性治疗区废水量1.185</w:t>
            </w:r>
            <w:r>
              <w:rPr>
                <w:rFonts w:hint="eastAsia"/>
                <w:color w:val="auto"/>
                <w:kern w:val="0"/>
              </w:rPr>
              <w:t>m</w:t>
            </w:r>
            <w:r>
              <w:rPr>
                <w:rFonts w:hint="default"/>
                <w:color w:val="auto"/>
                <w:kern w:val="0"/>
                <w:vertAlign w:val="superscript"/>
              </w:rPr>
              <w:t>3</w:t>
            </w:r>
            <w:r>
              <w:rPr>
                <w:rFonts w:hint="default"/>
                <w:color w:val="auto"/>
                <w:kern w:val="0"/>
              </w:rPr>
              <w:t>/d</w:t>
            </w:r>
            <w:r>
              <w:rPr>
                <w:rFonts w:hint="eastAsia"/>
                <w:color w:val="auto"/>
                <w:kern w:val="0"/>
                <w:lang w:eastAsia="zh-CN"/>
              </w:rPr>
              <w:t>，</w:t>
            </w:r>
            <w:r>
              <w:rPr>
                <w:rFonts w:hint="eastAsia"/>
                <w:color w:val="auto"/>
                <w:kern w:val="0"/>
                <w:lang w:val="en-US" w:eastAsia="zh-CN"/>
              </w:rPr>
              <w:t>阴性治疗区废水量5.451</w:t>
            </w:r>
            <w:r>
              <w:rPr>
                <w:rFonts w:hint="eastAsia"/>
                <w:color w:val="auto"/>
                <w:kern w:val="0"/>
              </w:rPr>
              <w:t>m</w:t>
            </w:r>
            <w:r>
              <w:rPr>
                <w:rFonts w:hint="default"/>
                <w:color w:val="auto"/>
                <w:kern w:val="0"/>
                <w:vertAlign w:val="superscript"/>
              </w:rPr>
              <w:t>3</w:t>
            </w:r>
            <w:r>
              <w:rPr>
                <w:rFonts w:hint="default"/>
                <w:color w:val="auto"/>
                <w:kern w:val="0"/>
              </w:rPr>
              <w:t>/d</w:t>
            </w:r>
            <w:r>
              <w:rPr>
                <w:rFonts w:hint="eastAsia"/>
                <w:color w:val="auto"/>
                <w:kern w:val="0"/>
                <w:lang w:eastAsia="zh-CN"/>
              </w:rPr>
              <w:t>。</w:t>
            </w:r>
          </w:p>
          <w:p w14:paraId="1CD813A3">
            <w:pPr>
              <w:keepNext w:val="0"/>
              <w:keepLines w:val="0"/>
              <w:suppressLineNumbers w:val="0"/>
              <w:spacing w:before="0" w:beforeAutospacing="0" w:after="0" w:afterAutospacing="0" w:line="440" w:lineRule="exact"/>
              <w:ind w:left="0" w:right="0" w:firstLine="420" w:firstLineChars="200"/>
              <w:rPr>
                <w:rFonts w:hint="default"/>
                <w:color w:val="auto"/>
                <w:kern w:val="0"/>
              </w:rPr>
            </w:pPr>
            <w:r>
              <w:rPr>
                <w:rFonts w:hint="eastAsia"/>
                <w:color w:val="auto"/>
                <w:kern w:val="0"/>
              </w:rPr>
              <w:t>③检验室用水</w:t>
            </w:r>
          </w:p>
          <w:p w14:paraId="77759054">
            <w:pPr>
              <w:keepNext w:val="0"/>
              <w:keepLines w:val="0"/>
              <w:suppressLineNumbers w:val="0"/>
              <w:spacing w:before="0" w:beforeAutospacing="0" w:after="0" w:afterAutospacing="0" w:line="440" w:lineRule="exact"/>
              <w:ind w:left="0" w:right="0" w:firstLine="420" w:firstLineChars="200"/>
              <w:rPr>
                <w:rFonts w:hint="default"/>
                <w:color w:val="auto"/>
                <w:kern w:val="0"/>
              </w:rPr>
            </w:pPr>
            <w:r>
              <w:rPr>
                <w:rFonts w:hint="eastAsia"/>
                <w:color w:val="auto"/>
                <w:kern w:val="0"/>
              </w:rPr>
              <w:t>根据类比分析，检验用水量约为0.3</w:t>
            </w:r>
            <w:r>
              <w:rPr>
                <w:rFonts w:hint="default"/>
                <w:color w:val="auto"/>
                <w:kern w:val="0"/>
              </w:rPr>
              <w:t>m</w:t>
            </w:r>
            <w:r>
              <w:rPr>
                <w:rFonts w:hint="default"/>
                <w:color w:val="auto"/>
                <w:kern w:val="0"/>
                <w:vertAlign w:val="superscript"/>
              </w:rPr>
              <w:t>3</w:t>
            </w:r>
            <w:r>
              <w:rPr>
                <w:rFonts w:hint="default"/>
                <w:color w:val="auto"/>
                <w:kern w:val="0"/>
              </w:rPr>
              <w:t>/d，排污系数取</w:t>
            </w:r>
            <w:r>
              <w:rPr>
                <w:rFonts w:hint="eastAsia"/>
                <w:color w:val="auto"/>
                <w:kern w:val="0"/>
              </w:rPr>
              <w:t>0.9，则检验室废水产生量为0.27</w:t>
            </w:r>
            <w:r>
              <w:rPr>
                <w:rFonts w:hint="default"/>
                <w:color w:val="auto"/>
                <w:kern w:val="0"/>
              </w:rPr>
              <w:t>m</w:t>
            </w:r>
            <w:r>
              <w:rPr>
                <w:rFonts w:hint="default"/>
                <w:color w:val="auto"/>
                <w:kern w:val="0"/>
                <w:vertAlign w:val="superscript"/>
              </w:rPr>
              <w:t>3</w:t>
            </w:r>
            <w:r>
              <w:rPr>
                <w:rFonts w:hint="default"/>
                <w:color w:val="auto"/>
                <w:kern w:val="0"/>
              </w:rPr>
              <w:t>/d。</w:t>
            </w:r>
          </w:p>
          <w:p w14:paraId="6414EB00">
            <w:pPr>
              <w:keepNext w:val="0"/>
              <w:keepLines w:val="0"/>
              <w:suppressLineNumbers w:val="0"/>
              <w:spacing w:before="0" w:beforeAutospacing="0" w:after="0" w:afterAutospacing="0" w:line="440" w:lineRule="exact"/>
              <w:ind w:left="0" w:right="0" w:firstLine="420" w:firstLineChars="200"/>
              <w:rPr>
                <w:rFonts w:hint="default"/>
                <w:color w:val="auto"/>
                <w:kern w:val="0"/>
              </w:rPr>
            </w:pPr>
            <w:r>
              <w:rPr>
                <w:rFonts w:hint="eastAsia"/>
                <w:color w:val="auto"/>
                <w:kern w:val="0"/>
              </w:rPr>
              <w:t>④办公生活用水</w:t>
            </w:r>
          </w:p>
          <w:p w14:paraId="340327AD">
            <w:pPr>
              <w:keepNext w:val="0"/>
              <w:keepLines w:val="0"/>
              <w:suppressLineNumbers w:val="0"/>
              <w:spacing w:before="0" w:beforeAutospacing="0" w:after="0" w:afterAutospacing="0" w:line="440" w:lineRule="exact"/>
              <w:ind w:left="0" w:right="0" w:firstLine="420" w:firstLineChars="200"/>
              <w:rPr>
                <w:rFonts w:hint="default"/>
                <w:color w:val="auto"/>
                <w:kern w:val="0"/>
              </w:rPr>
            </w:pPr>
            <w:r>
              <w:rPr>
                <w:rFonts w:hint="eastAsia"/>
                <w:color w:val="auto"/>
                <w:kern w:val="0"/>
              </w:rPr>
              <w:t>根据设计资料，项目建成后医务及办公人员约为40人，医院职工的用水量取60L/人·d（以医务人员人数计）</w:t>
            </w:r>
            <w:r>
              <w:rPr>
                <w:rFonts w:hint="default"/>
                <w:color w:val="auto"/>
                <w:kern w:val="0"/>
              </w:rPr>
              <w:t>，则</w:t>
            </w:r>
            <w:r>
              <w:rPr>
                <w:rFonts w:hint="eastAsia"/>
                <w:color w:val="auto"/>
                <w:kern w:val="0"/>
              </w:rPr>
              <w:t>用水量为2.4</w:t>
            </w:r>
            <w:r>
              <w:rPr>
                <w:rFonts w:hint="default"/>
                <w:color w:val="auto"/>
                <w:kern w:val="0"/>
              </w:rPr>
              <w:t>m</w:t>
            </w:r>
            <w:r>
              <w:rPr>
                <w:rFonts w:hint="default"/>
                <w:color w:val="auto"/>
                <w:kern w:val="0"/>
                <w:vertAlign w:val="superscript"/>
              </w:rPr>
              <w:t>3</w:t>
            </w:r>
            <w:r>
              <w:rPr>
                <w:rFonts w:hint="default"/>
                <w:color w:val="auto"/>
                <w:kern w:val="0"/>
              </w:rPr>
              <w:t>/d，产污系数取</w:t>
            </w:r>
            <w:r>
              <w:rPr>
                <w:rFonts w:hint="eastAsia"/>
                <w:color w:val="auto"/>
                <w:kern w:val="0"/>
              </w:rPr>
              <w:t>0.9，则</w:t>
            </w:r>
            <w:r>
              <w:rPr>
                <w:rFonts w:hint="default"/>
                <w:color w:val="auto"/>
                <w:kern w:val="0"/>
              </w:rPr>
              <w:t>废水产生量为</w:t>
            </w:r>
            <w:r>
              <w:rPr>
                <w:rFonts w:hint="eastAsia"/>
                <w:color w:val="auto"/>
                <w:kern w:val="0"/>
              </w:rPr>
              <w:t>2.16</w:t>
            </w:r>
            <w:r>
              <w:rPr>
                <w:rFonts w:hint="default"/>
                <w:color w:val="auto"/>
                <w:kern w:val="0"/>
              </w:rPr>
              <w:t>m</w:t>
            </w:r>
            <w:r>
              <w:rPr>
                <w:rFonts w:hint="default"/>
                <w:color w:val="auto"/>
                <w:kern w:val="0"/>
                <w:vertAlign w:val="superscript"/>
              </w:rPr>
              <w:t>3</w:t>
            </w:r>
            <w:r>
              <w:rPr>
                <w:rFonts w:hint="default"/>
                <w:color w:val="auto"/>
                <w:kern w:val="0"/>
              </w:rPr>
              <w:t>/d。</w:t>
            </w:r>
          </w:p>
          <w:p w14:paraId="42DB863F">
            <w:pPr>
              <w:keepNext w:val="0"/>
              <w:keepLines w:val="0"/>
              <w:suppressLineNumbers w:val="0"/>
              <w:autoSpaceDE w:val="0"/>
              <w:autoSpaceDN w:val="0"/>
              <w:adjustRightInd w:val="0"/>
              <w:spacing w:before="0" w:beforeAutospacing="0" w:after="0" w:afterAutospacing="0" w:line="440" w:lineRule="exact"/>
              <w:ind w:left="0" w:right="0" w:firstLine="420" w:firstLineChars="200"/>
              <w:jc w:val="left"/>
              <w:rPr>
                <w:rFonts w:hint="default"/>
                <w:color w:val="auto"/>
                <w:kern w:val="0"/>
                <w:sz w:val="28"/>
                <w:szCs w:val="28"/>
              </w:rPr>
            </w:pPr>
            <w:r>
              <w:rPr>
                <w:rFonts w:hint="default"/>
                <w:color w:val="auto"/>
                <w:kern w:val="0"/>
              </w:rPr>
              <w:t>项目用水环节分配及废水产生情况统计见下表。</w:t>
            </w:r>
          </w:p>
          <w:p w14:paraId="54607D6E">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 xml:space="preserve">2-5 </w:t>
            </w:r>
            <w:r>
              <w:rPr>
                <w:rFonts w:hint="default" w:eastAsia="黑体"/>
                <w:color w:val="auto"/>
                <w:sz w:val="18"/>
                <w:szCs w:val="18"/>
              </w:rPr>
              <w:t xml:space="preserve">  项目用水量及废水产生量估算表</w:t>
            </w:r>
          </w:p>
          <w:tbl>
            <w:tblPr>
              <w:tblStyle w:val="13"/>
              <w:tblW w:w="7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1852"/>
              <w:gridCol w:w="1139"/>
              <w:gridCol w:w="52"/>
              <w:gridCol w:w="1156"/>
              <w:gridCol w:w="1355"/>
              <w:gridCol w:w="1114"/>
            </w:tblGrid>
            <w:tr w14:paraId="08C86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909" w:type="dxa"/>
                  <w:vAlign w:val="center"/>
                </w:tcPr>
                <w:p w14:paraId="7D45E858">
                  <w:pPr>
                    <w:keepNext w:val="0"/>
                    <w:keepLines w:val="0"/>
                    <w:suppressLineNumbers w:val="0"/>
                    <w:adjustRightInd w:val="0"/>
                    <w:snapToGrid w:val="0"/>
                    <w:spacing w:before="0" w:beforeAutospacing="0" w:after="0" w:afterAutospacing="0" w:line="280" w:lineRule="exact"/>
                    <w:ind w:left="0" w:right="0"/>
                    <w:jc w:val="center"/>
                    <w:rPr>
                      <w:rFonts w:hint="default"/>
                      <w:b/>
                      <w:color w:val="auto"/>
                      <w:sz w:val="18"/>
                      <w:szCs w:val="18"/>
                    </w:rPr>
                  </w:pPr>
                  <w:r>
                    <w:rPr>
                      <w:rFonts w:hint="default"/>
                      <w:b/>
                      <w:color w:val="auto"/>
                      <w:sz w:val="18"/>
                      <w:szCs w:val="18"/>
                    </w:rPr>
                    <w:t>类别</w:t>
                  </w:r>
                </w:p>
              </w:tc>
              <w:tc>
                <w:tcPr>
                  <w:tcW w:w="1852" w:type="dxa"/>
                  <w:vAlign w:val="center"/>
                </w:tcPr>
                <w:p w14:paraId="1CE47165">
                  <w:pPr>
                    <w:keepNext w:val="0"/>
                    <w:keepLines w:val="0"/>
                    <w:suppressLineNumbers w:val="0"/>
                    <w:adjustRightInd w:val="0"/>
                    <w:snapToGrid w:val="0"/>
                    <w:spacing w:before="0" w:beforeAutospacing="0" w:after="0" w:afterAutospacing="0" w:line="280" w:lineRule="exact"/>
                    <w:ind w:left="0" w:right="0"/>
                    <w:jc w:val="center"/>
                    <w:rPr>
                      <w:rFonts w:hint="default"/>
                      <w:b/>
                      <w:color w:val="auto"/>
                      <w:sz w:val="18"/>
                      <w:szCs w:val="18"/>
                    </w:rPr>
                  </w:pPr>
                  <w:r>
                    <w:rPr>
                      <w:rFonts w:hint="default"/>
                      <w:b/>
                      <w:color w:val="auto"/>
                      <w:sz w:val="18"/>
                      <w:szCs w:val="18"/>
                    </w:rPr>
                    <w:t>用水对象</w:t>
                  </w:r>
                </w:p>
              </w:tc>
              <w:tc>
                <w:tcPr>
                  <w:tcW w:w="1139" w:type="dxa"/>
                  <w:vAlign w:val="center"/>
                </w:tcPr>
                <w:p w14:paraId="08BA6C0C">
                  <w:pPr>
                    <w:keepNext w:val="0"/>
                    <w:keepLines w:val="0"/>
                    <w:suppressLineNumbers w:val="0"/>
                    <w:adjustRightInd w:val="0"/>
                    <w:snapToGrid w:val="0"/>
                    <w:spacing w:before="0" w:beforeAutospacing="0" w:after="0" w:afterAutospacing="0" w:line="280" w:lineRule="exact"/>
                    <w:ind w:left="0" w:right="0"/>
                    <w:jc w:val="center"/>
                    <w:rPr>
                      <w:rFonts w:hint="default"/>
                      <w:b/>
                      <w:color w:val="auto"/>
                      <w:sz w:val="18"/>
                      <w:szCs w:val="18"/>
                    </w:rPr>
                  </w:pPr>
                  <w:r>
                    <w:rPr>
                      <w:rFonts w:hint="default"/>
                      <w:b/>
                      <w:color w:val="auto"/>
                      <w:sz w:val="18"/>
                      <w:szCs w:val="18"/>
                    </w:rPr>
                    <w:t>单位数量</w:t>
                  </w:r>
                </w:p>
              </w:tc>
              <w:tc>
                <w:tcPr>
                  <w:tcW w:w="1208" w:type="dxa"/>
                  <w:gridSpan w:val="2"/>
                  <w:vAlign w:val="center"/>
                </w:tcPr>
                <w:p w14:paraId="60E021C3">
                  <w:pPr>
                    <w:keepNext w:val="0"/>
                    <w:keepLines w:val="0"/>
                    <w:suppressLineNumbers w:val="0"/>
                    <w:adjustRightInd w:val="0"/>
                    <w:snapToGrid w:val="0"/>
                    <w:spacing w:before="0" w:beforeAutospacing="0" w:after="0" w:afterAutospacing="0" w:line="280" w:lineRule="exact"/>
                    <w:ind w:left="0" w:right="0"/>
                    <w:jc w:val="center"/>
                    <w:rPr>
                      <w:rFonts w:hint="default"/>
                      <w:b/>
                      <w:color w:val="auto"/>
                      <w:sz w:val="18"/>
                      <w:szCs w:val="18"/>
                    </w:rPr>
                  </w:pPr>
                  <w:r>
                    <w:rPr>
                      <w:rFonts w:hint="default"/>
                      <w:b/>
                      <w:color w:val="auto"/>
                      <w:sz w:val="18"/>
                      <w:szCs w:val="18"/>
                    </w:rPr>
                    <w:t>用水量标准</w:t>
                  </w:r>
                </w:p>
              </w:tc>
              <w:tc>
                <w:tcPr>
                  <w:tcW w:w="1355" w:type="dxa"/>
                  <w:vAlign w:val="center"/>
                </w:tcPr>
                <w:p w14:paraId="1CDF42FE">
                  <w:pPr>
                    <w:keepNext w:val="0"/>
                    <w:keepLines w:val="0"/>
                    <w:suppressLineNumbers w:val="0"/>
                    <w:adjustRightInd w:val="0"/>
                    <w:snapToGrid w:val="0"/>
                    <w:spacing w:before="0" w:beforeAutospacing="0" w:after="0" w:afterAutospacing="0" w:line="280" w:lineRule="exact"/>
                    <w:ind w:left="0" w:right="0"/>
                    <w:jc w:val="center"/>
                    <w:rPr>
                      <w:rFonts w:hint="default"/>
                      <w:b/>
                      <w:color w:val="auto"/>
                      <w:sz w:val="18"/>
                      <w:szCs w:val="18"/>
                    </w:rPr>
                  </w:pPr>
                  <w:r>
                    <w:rPr>
                      <w:rFonts w:hint="default"/>
                      <w:b/>
                      <w:color w:val="auto"/>
                      <w:sz w:val="18"/>
                      <w:szCs w:val="18"/>
                    </w:rPr>
                    <w:t>最高日用水量（m</w:t>
                  </w:r>
                  <w:r>
                    <w:rPr>
                      <w:rFonts w:hint="default"/>
                      <w:b/>
                      <w:color w:val="auto"/>
                      <w:sz w:val="18"/>
                      <w:szCs w:val="18"/>
                      <w:vertAlign w:val="superscript"/>
                    </w:rPr>
                    <w:t>3</w:t>
                  </w:r>
                  <w:r>
                    <w:rPr>
                      <w:rFonts w:hint="default"/>
                      <w:b/>
                      <w:color w:val="auto"/>
                      <w:sz w:val="18"/>
                      <w:szCs w:val="18"/>
                    </w:rPr>
                    <w:t>/d）</w:t>
                  </w:r>
                </w:p>
              </w:tc>
              <w:tc>
                <w:tcPr>
                  <w:tcW w:w="1114" w:type="dxa"/>
                  <w:vAlign w:val="center"/>
                </w:tcPr>
                <w:p w14:paraId="52B435E2">
                  <w:pPr>
                    <w:keepNext w:val="0"/>
                    <w:keepLines w:val="0"/>
                    <w:suppressLineNumbers w:val="0"/>
                    <w:adjustRightInd w:val="0"/>
                    <w:snapToGrid w:val="0"/>
                    <w:spacing w:before="0" w:beforeAutospacing="0" w:after="0" w:afterAutospacing="0" w:line="280" w:lineRule="exact"/>
                    <w:ind w:left="0" w:right="0"/>
                    <w:jc w:val="center"/>
                    <w:rPr>
                      <w:rFonts w:hint="default"/>
                      <w:b/>
                      <w:color w:val="auto"/>
                      <w:sz w:val="18"/>
                      <w:szCs w:val="18"/>
                    </w:rPr>
                  </w:pPr>
                  <w:r>
                    <w:rPr>
                      <w:rFonts w:hint="default"/>
                      <w:b/>
                      <w:color w:val="auto"/>
                      <w:sz w:val="18"/>
                      <w:szCs w:val="18"/>
                    </w:rPr>
                    <w:t>日</w:t>
                  </w:r>
                  <w:r>
                    <w:rPr>
                      <w:rFonts w:hint="eastAsia"/>
                      <w:b/>
                      <w:color w:val="auto"/>
                      <w:sz w:val="18"/>
                      <w:szCs w:val="18"/>
                    </w:rPr>
                    <w:t>废水</w:t>
                  </w:r>
                  <w:r>
                    <w:rPr>
                      <w:rFonts w:hint="default"/>
                      <w:b/>
                      <w:color w:val="auto"/>
                      <w:sz w:val="18"/>
                      <w:szCs w:val="18"/>
                    </w:rPr>
                    <w:t>量</w:t>
                  </w:r>
                </w:p>
                <w:p w14:paraId="1108330C">
                  <w:pPr>
                    <w:keepNext w:val="0"/>
                    <w:keepLines w:val="0"/>
                    <w:suppressLineNumbers w:val="0"/>
                    <w:adjustRightInd w:val="0"/>
                    <w:snapToGrid w:val="0"/>
                    <w:spacing w:before="0" w:beforeAutospacing="0" w:after="0" w:afterAutospacing="0" w:line="280" w:lineRule="exact"/>
                    <w:ind w:left="0" w:right="0"/>
                    <w:jc w:val="center"/>
                    <w:rPr>
                      <w:rFonts w:hint="default"/>
                      <w:b/>
                      <w:color w:val="auto"/>
                      <w:sz w:val="18"/>
                      <w:szCs w:val="18"/>
                    </w:rPr>
                  </w:pPr>
                  <w:r>
                    <w:rPr>
                      <w:rFonts w:hint="default"/>
                      <w:b/>
                      <w:color w:val="auto"/>
                      <w:sz w:val="18"/>
                      <w:szCs w:val="18"/>
                    </w:rPr>
                    <w:t>（m</w:t>
                  </w:r>
                  <w:r>
                    <w:rPr>
                      <w:rFonts w:hint="default"/>
                      <w:b/>
                      <w:color w:val="auto"/>
                      <w:sz w:val="18"/>
                      <w:szCs w:val="18"/>
                      <w:vertAlign w:val="superscript"/>
                    </w:rPr>
                    <w:t>3</w:t>
                  </w:r>
                  <w:r>
                    <w:rPr>
                      <w:rFonts w:hint="default"/>
                      <w:b/>
                      <w:color w:val="auto"/>
                      <w:sz w:val="18"/>
                      <w:szCs w:val="18"/>
                    </w:rPr>
                    <w:t>/d）</w:t>
                  </w:r>
                </w:p>
              </w:tc>
            </w:tr>
            <w:tr w14:paraId="317D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vMerge w:val="restart"/>
                  <w:vAlign w:val="center"/>
                </w:tcPr>
                <w:p w14:paraId="6A92C5D9">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门诊区</w:t>
                  </w:r>
                </w:p>
              </w:tc>
              <w:tc>
                <w:tcPr>
                  <w:tcW w:w="1852" w:type="dxa"/>
                  <w:vAlign w:val="center"/>
                </w:tcPr>
                <w:p w14:paraId="049FE8FC">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szCs w:val="18"/>
                    </w:rPr>
                  </w:pPr>
                  <w:r>
                    <w:rPr>
                      <w:rFonts w:hint="default"/>
                      <w:color w:val="auto"/>
                      <w:sz w:val="18"/>
                      <w:szCs w:val="18"/>
                    </w:rPr>
                    <w:t>门</w:t>
                  </w:r>
                  <w:r>
                    <w:rPr>
                      <w:rFonts w:hint="default"/>
                      <w:color w:val="auto"/>
                      <w:sz w:val="18"/>
                      <w:szCs w:val="18"/>
                    </w:rPr>
                    <w:cr/>
                  </w:r>
                  <w:r>
                    <w:rPr>
                      <w:rFonts w:hint="default"/>
                      <w:color w:val="auto"/>
                      <w:sz w:val="18"/>
                      <w:szCs w:val="18"/>
                    </w:rPr>
                    <w:t>（急）诊病人</w:t>
                  </w:r>
                </w:p>
              </w:tc>
              <w:tc>
                <w:tcPr>
                  <w:tcW w:w="1139" w:type="dxa"/>
                  <w:vAlign w:val="center"/>
                </w:tcPr>
                <w:p w14:paraId="366C1578">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szCs w:val="18"/>
                    </w:rPr>
                  </w:pPr>
                  <w:r>
                    <w:rPr>
                      <w:rFonts w:hint="eastAsia"/>
                      <w:color w:val="auto"/>
                      <w:sz w:val="18"/>
                      <w:szCs w:val="18"/>
                    </w:rPr>
                    <w:t>20人/d</w:t>
                  </w:r>
                </w:p>
              </w:tc>
              <w:tc>
                <w:tcPr>
                  <w:tcW w:w="1208" w:type="dxa"/>
                  <w:gridSpan w:val="2"/>
                  <w:vAlign w:val="center"/>
                </w:tcPr>
                <w:p w14:paraId="2B912D80">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szCs w:val="18"/>
                    </w:rPr>
                  </w:pPr>
                  <w:r>
                    <w:rPr>
                      <w:rFonts w:hint="eastAsia"/>
                      <w:color w:val="auto"/>
                      <w:sz w:val="18"/>
                      <w:szCs w:val="18"/>
                    </w:rPr>
                    <w:t>15L</w:t>
                  </w:r>
                  <w:r>
                    <w:rPr>
                      <w:rFonts w:hint="default"/>
                      <w:color w:val="auto"/>
                      <w:sz w:val="18"/>
                      <w:szCs w:val="18"/>
                    </w:rPr>
                    <w:t>/人·次</w:t>
                  </w:r>
                </w:p>
              </w:tc>
              <w:tc>
                <w:tcPr>
                  <w:tcW w:w="1355" w:type="dxa"/>
                  <w:vAlign w:val="center"/>
                </w:tcPr>
                <w:p w14:paraId="3D495B63">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szCs w:val="18"/>
                    </w:rPr>
                  </w:pPr>
                  <w:r>
                    <w:rPr>
                      <w:rFonts w:hint="eastAsia"/>
                      <w:color w:val="auto"/>
                      <w:sz w:val="18"/>
                      <w:szCs w:val="18"/>
                    </w:rPr>
                    <w:t>0.3</w:t>
                  </w:r>
                </w:p>
              </w:tc>
              <w:tc>
                <w:tcPr>
                  <w:tcW w:w="1114" w:type="dxa"/>
                  <w:vAlign w:val="center"/>
                </w:tcPr>
                <w:p w14:paraId="5BC0C116">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szCs w:val="18"/>
                    </w:rPr>
                  </w:pPr>
                  <w:r>
                    <w:rPr>
                      <w:rFonts w:hint="eastAsia"/>
                      <w:color w:val="auto"/>
                      <w:sz w:val="18"/>
                      <w:szCs w:val="18"/>
                    </w:rPr>
                    <w:t>0.27</w:t>
                  </w:r>
                </w:p>
              </w:tc>
            </w:tr>
            <w:tr w14:paraId="3620A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vMerge w:val="continue"/>
                  <w:vAlign w:val="center"/>
                </w:tcPr>
                <w:p w14:paraId="4A89762C">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p>
              </w:tc>
              <w:tc>
                <w:tcPr>
                  <w:tcW w:w="1852" w:type="dxa"/>
                  <w:vAlign w:val="center"/>
                </w:tcPr>
                <w:p w14:paraId="0377DE8D">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szCs w:val="18"/>
                    </w:rPr>
                  </w:pPr>
                  <w:r>
                    <w:rPr>
                      <w:rFonts w:hint="eastAsia"/>
                      <w:color w:val="auto"/>
                      <w:sz w:val="18"/>
                      <w:szCs w:val="18"/>
                    </w:rPr>
                    <w:t>医务、</w:t>
                  </w:r>
                  <w:r>
                    <w:rPr>
                      <w:rFonts w:hint="default"/>
                      <w:color w:val="auto"/>
                      <w:sz w:val="18"/>
                      <w:szCs w:val="18"/>
                    </w:rPr>
                    <w:t>办公人员</w:t>
                  </w:r>
                </w:p>
              </w:tc>
              <w:tc>
                <w:tcPr>
                  <w:tcW w:w="1139" w:type="dxa"/>
                  <w:vAlign w:val="center"/>
                </w:tcPr>
                <w:p w14:paraId="5BBFABB6">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szCs w:val="18"/>
                    </w:rPr>
                  </w:pPr>
                  <w:r>
                    <w:rPr>
                      <w:rFonts w:hint="eastAsia"/>
                      <w:color w:val="auto"/>
                      <w:sz w:val="18"/>
                      <w:szCs w:val="18"/>
                    </w:rPr>
                    <w:t>40人</w:t>
                  </w:r>
                </w:p>
              </w:tc>
              <w:tc>
                <w:tcPr>
                  <w:tcW w:w="1208" w:type="dxa"/>
                  <w:gridSpan w:val="2"/>
                  <w:vAlign w:val="center"/>
                </w:tcPr>
                <w:p w14:paraId="46794D20">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szCs w:val="18"/>
                    </w:rPr>
                  </w:pPr>
                  <w:r>
                    <w:rPr>
                      <w:rFonts w:hint="eastAsia"/>
                      <w:color w:val="auto"/>
                      <w:sz w:val="18"/>
                      <w:szCs w:val="18"/>
                    </w:rPr>
                    <w:t>60</w:t>
                  </w:r>
                  <w:r>
                    <w:rPr>
                      <w:rFonts w:hint="default"/>
                      <w:color w:val="auto"/>
                      <w:sz w:val="18"/>
                      <w:szCs w:val="18"/>
                    </w:rPr>
                    <w:t>L/人·d</w:t>
                  </w:r>
                </w:p>
              </w:tc>
              <w:tc>
                <w:tcPr>
                  <w:tcW w:w="1355" w:type="dxa"/>
                  <w:vAlign w:val="center"/>
                </w:tcPr>
                <w:p w14:paraId="2FA666F8">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szCs w:val="18"/>
                    </w:rPr>
                  </w:pPr>
                  <w:r>
                    <w:rPr>
                      <w:rFonts w:hint="eastAsia"/>
                      <w:color w:val="auto"/>
                      <w:sz w:val="18"/>
                      <w:szCs w:val="18"/>
                    </w:rPr>
                    <w:t>2.4</w:t>
                  </w:r>
                </w:p>
              </w:tc>
              <w:tc>
                <w:tcPr>
                  <w:tcW w:w="1114" w:type="dxa"/>
                  <w:vAlign w:val="center"/>
                </w:tcPr>
                <w:p w14:paraId="4F32F569">
                  <w:pPr>
                    <w:keepNext w:val="0"/>
                    <w:keepLines w:val="0"/>
                    <w:suppressLineNumbers w:val="0"/>
                    <w:adjustRightInd w:val="0"/>
                    <w:snapToGrid w:val="0"/>
                    <w:spacing w:before="0" w:beforeAutospacing="0" w:after="0" w:afterAutospacing="0" w:line="320" w:lineRule="exact"/>
                    <w:ind w:left="0" w:right="0"/>
                    <w:jc w:val="center"/>
                    <w:rPr>
                      <w:rFonts w:hint="default"/>
                      <w:color w:val="auto"/>
                      <w:sz w:val="18"/>
                      <w:szCs w:val="18"/>
                    </w:rPr>
                  </w:pPr>
                  <w:r>
                    <w:rPr>
                      <w:rFonts w:hint="eastAsia"/>
                      <w:color w:val="auto"/>
                      <w:sz w:val="18"/>
                      <w:szCs w:val="18"/>
                    </w:rPr>
                    <w:t>2.16</w:t>
                  </w:r>
                </w:p>
              </w:tc>
            </w:tr>
            <w:tr w14:paraId="27FA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1" w:type="dxa"/>
                  <w:gridSpan w:val="2"/>
                  <w:vAlign w:val="center"/>
                </w:tcPr>
                <w:p w14:paraId="19C67FA5">
                  <w:pPr>
                    <w:keepNext w:val="0"/>
                    <w:keepLines w:val="0"/>
                    <w:suppressLineNumbers w:val="0"/>
                    <w:adjustRightInd w:val="0"/>
                    <w:snapToGrid w:val="0"/>
                    <w:spacing w:before="0" w:beforeAutospacing="0" w:after="0" w:afterAutospacing="0" w:line="280" w:lineRule="exact"/>
                    <w:ind w:left="0" w:right="0"/>
                    <w:jc w:val="center"/>
                    <w:rPr>
                      <w:rFonts w:hint="default"/>
                      <w:b/>
                      <w:i/>
                      <w:color w:val="auto"/>
                      <w:sz w:val="18"/>
                      <w:szCs w:val="18"/>
                    </w:rPr>
                  </w:pPr>
                  <w:bookmarkStart w:id="2" w:name="OLE_LINK8" w:colFirst="5" w:colLast="5"/>
                  <w:bookmarkStart w:id="3" w:name="OLE_LINK7" w:colFirst="5" w:colLast="5"/>
                  <w:bookmarkStart w:id="4" w:name="_Hlk525052260"/>
                  <w:r>
                    <w:rPr>
                      <w:rFonts w:hint="default"/>
                      <w:b/>
                      <w:i/>
                      <w:color w:val="auto"/>
                      <w:sz w:val="18"/>
                      <w:szCs w:val="18"/>
                    </w:rPr>
                    <w:t>小  计</w:t>
                  </w:r>
                </w:p>
              </w:tc>
              <w:tc>
                <w:tcPr>
                  <w:tcW w:w="2347" w:type="dxa"/>
                  <w:gridSpan w:val="3"/>
                  <w:vAlign w:val="center"/>
                </w:tcPr>
                <w:p w14:paraId="1005837D">
                  <w:pPr>
                    <w:keepNext w:val="0"/>
                    <w:keepLines w:val="0"/>
                    <w:suppressLineNumbers w:val="0"/>
                    <w:adjustRightInd w:val="0"/>
                    <w:snapToGrid w:val="0"/>
                    <w:spacing w:before="0" w:beforeAutospacing="0" w:after="0" w:afterAutospacing="0" w:line="280" w:lineRule="exact"/>
                    <w:ind w:left="0" w:right="0"/>
                    <w:jc w:val="center"/>
                    <w:rPr>
                      <w:rFonts w:hint="default"/>
                      <w:b/>
                      <w:i/>
                      <w:color w:val="auto"/>
                      <w:sz w:val="18"/>
                      <w:szCs w:val="18"/>
                    </w:rPr>
                  </w:pPr>
                  <w:r>
                    <w:rPr>
                      <w:rFonts w:hint="default"/>
                      <w:b/>
                      <w:i/>
                      <w:color w:val="auto"/>
                      <w:sz w:val="18"/>
                      <w:szCs w:val="18"/>
                    </w:rPr>
                    <w:t>－</w:t>
                  </w:r>
                </w:p>
              </w:tc>
              <w:tc>
                <w:tcPr>
                  <w:tcW w:w="1355" w:type="dxa"/>
                  <w:vAlign w:val="center"/>
                </w:tcPr>
                <w:p w14:paraId="0B973AFA">
                  <w:pPr>
                    <w:keepNext w:val="0"/>
                    <w:keepLines w:val="0"/>
                    <w:suppressLineNumbers w:val="0"/>
                    <w:adjustRightInd w:val="0"/>
                    <w:snapToGrid w:val="0"/>
                    <w:spacing w:before="0" w:beforeAutospacing="0" w:after="0" w:afterAutospacing="0" w:line="280" w:lineRule="exact"/>
                    <w:ind w:left="0" w:right="0"/>
                    <w:jc w:val="center"/>
                    <w:rPr>
                      <w:rFonts w:hint="default"/>
                      <w:b/>
                      <w:i/>
                      <w:color w:val="auto"/>
                      <w:sz w:val="18"/>
                      <w:szCs w:val="18"/>
                    </w:rPr>
                  </w:pPr>
                  <w:r>
                    <w:rPr>
                      <w:rFonts w:hint="eastAsia"/>
                      <w:b/>
                      <w:i/>
                      <w:color w:val="auto"/>
                      <w:sz w:val="18"/>
                      <w:szCs w:val="18"/>
                    </w:rPr>
                    <w:t>2.7</w:t>
                  </w:r>
                </w:p>
              </w:tc>
              <w:tc>
                <w:tcPr>
                  <w:tcW w:w="1114" w:type="dxa"/>
                  <w:vAlign w:val="center"/>
                </w:tcPr>
                <w:p w14:paraId="401683C8">
                  <w:pPr>
                    <w:keepNext w:val="0"/>
                    <w:keepLines w:val="0"/>
                    <w:suppressLineNumbers w:val="0"/>
                    <w:adjustRightInd w:val="0"/>
                    <w:snapToGrid w:val="0"/>
                    <w:spacing w:before="0" w:beforeAutospacing="0" w:after="0" w:afterAutospacing="0" w:line="280" w:lineRule="exact"/>
                    <w:ind w:left="0" w:right="0"/>
                    <w:jc w:val="center"/>
                    <w:rPr>
                      <w:rFonts w:hint="default"/>
                      <w:b/>
                      <w:color w:val="auto"/>
                      <w:sz w:val="18"/>
                      <w:szCs w:val="18"/>
                    </w:rPr>
                  </w:pPr>
                  <w:r>
                    <w:rPr>
                      <w:rFonts w:hint="eastAsia"/>
                      <w:b/>
                      <w:color w:val="auto"/>
                      <w:sz w:val="18"/>
                      <w:szCs w:val="18"/>
                    </w:rPr>
                    <w:t>2.43</w:t>
                  </w:r>
                </w:p>
              </w:tc>
            </w:tr>
            <w:tr w14:paraId="6ACE5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909" w:type="dxa"/>
                  <w:vAlign w:val="center"/>
                </w:tcPr>
                <w:p w14:paraId="5DA667E1">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住院区</w:t>
                  </w:r>
                </w:p>
              </w:tc>
              <w:tc>
                <w:tcPr>
                  <w:tcW w:w="1852" w:type="dxa"/>
                  <w:vAlign w:val="center"/>
                </w:tcPr>
                <w:p w14:paraId="13FCF78A">
                  <w:pPr>
                    <w:keepNext w:val="0"/>
                    <w:keepLines w:val="0"/>
                    <w:suppressLineNumbers w:val="0"/>
                    <w:adjustRightInd w:val="0"/>
                    <w:snapToGrid w:val="0"/>
                    <w:spacing w:before="0" w:beforeAutospacing="0" w:after="0" w:afterAutospacing="0" w:line="280" w:lineRule="exact"/>
                    <w:ind w:left="-73" w:leftChars="-35" w:right="-67" w:rightChars="-32"/>
                    <w:jc w:val="center"/>
                    <w:rPr>
                      <w:rFonts w:hint="default"/>
                      <w:color w:val="auto"/>
                      <w:sz w:val="18"/>
                      <w:szCs w:val="18"/>
                    </w:rPr>
                  </w:pPr>
                  <w:r>
                    <w:rPr>
                      <w:rFonts w:hint="default"/>
                      <w:color w:val="auto"/>
                      <w:sz w:val="18"/>
                      <w:szCs w:val="18"/>
                    </w:rPr>
                    <w:t>住院病人（含治疗</w:t>
                  </w:r>
                  <w:r>
                    <w:rPr>
                      <w:rFonts w:hint="eastAsia"/>
                      <w:color w:val="auto"/>
                      <w:sz w:val="18"/>
                      <w:szCs w:val="18"/>
                    </w:rPr>
                    <w:t>、陪护</w:t>
                  </w:r>
                  <w:r>
                    <w:rPr>
                      <w:rFonts w:hint="default"/>
                      <w:color w:val="auto"/>
                      <w:sz w:val="18"/>
                      <w:szCs w:val="18"/>
                    </w:rPr>
                    <w:t>废水）</w:t>
                  </w:r>
                </w:p>
              </w:tc>
              <w:tc>
                <w:tcPr>
                  <w:tcW w:w="1139" w:type="dxa"/>
                  <w:vAlign w:val="center"/>
                </w:tcPr>
                <w:p w14:paraId="32E9492B">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80</w:t>
                  </w:r>
                  <w:r>
                    <w:rPr>
                      <w:rFonts w:hint="default"/>
                      <w:color w:val="auto"/>
                      <w:sz w:val="18"/>
                      <w:szCs w:val="18"/>
                    </w:rPr>
                    <w:t>床位</w:t>
                  </w:r>
                </w:p>
              </w:tc>
              <w:tc>
                <w:tcPr>
                  <w:tcW w:w="1208" w:type="dxa"/>
                  <w:gridSpan w:val="2"/>
                  <w:vAlign w:val="center"/>
                </w:tcPr>
                <w:p w14:paraId="32A3B3D1">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30</w:t>
                  </w:r>
                  <w:r>
                    <w:rPr>
                      <w:rFonts w:hint="default"/>
                      <w:color w:val="auto"/>
                      <w:sz w:val="18"/>
                      <w:szCs w:val="18"/>
                    </w:rPr>
                    <w:t>0L/床位·d</w:t>
                  </w:r>
                </w:p>
              </w:tc>
              <w:tc>
                <w:tcPr>
                  <w:tcW w:w="1355" w:type="dxa"/>
                  <w:vAlign w:val="center"/>
                </w:tcPr>
                <w:p w14:paraId="3F1A835D">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24</w:t>
                  </w:r>
                </w:p>
              </w:tc>
              <w:tc>
                <w:tcPr>
                  <w:tcW w:w="1114" w:type="dxa"/>
                  <w:vAlign w:val="center"/>
                </w:tcPr>
                <w:p w14:paraId="506C6B44">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21.6</w:t>
                  </w:r>
                </w:p>
              </w:tc>
            </w:tr>
            <w:tr w14:paraId="2FE7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vAlign w:val="center"/>
                </w:tcPr>
                <w:p w14:paraId="6FE562FD">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检验室</w:t>
                  </w:r>
                </w:p>
              </w:tc>
              <w:tc>
                <w:tcPr>
                  <w:tcW w:w="1852" w:type="dxa"/>
                  <w:vAlign w:val="center"/>
                </w:tcPr>
                <w:p w14:paraId="7D620239">
                  <w:pPr>
                    <w:keepNext w:val="0"/>
                    <w:keepLines w:val="0"/>
                    <w:suppressLineNumbers w:val="0"/>
                    <w:adjustRightInd w:val="0"/>
                    <w:snapToGrid w:val="0"/>
                    <w:spacing w:before="0" w:beforeAutospacing="0" w:after="0" w:afterAutospacing="0" w:line="280" w:lineRule="exact"/>
                    <w:ind w:left="-73" w:leftChars="-35" w:right="-67" w:rightChars="-32"/>
                    <w:jc w:val="center"/>
                    <w:rPr>
                      <w:rFonts w:hint="default"/>
                      <w:color w:val="auto"/>
                      <w:sz w:val="18"/>
                      <w:szCs w:val="18"/>
                    </w:rPr>
                  </w:pPr>
                  <w:r>
                    <w:rPr>
                      <w:rFonts w:hint="default"/>
                      <w:color w:val="auto"/>
                      <w:sz w:val="18"/>
                      <w:szCs w:val="18"/>
                    </w:rPr>
                    <w:t>检验</w:t>
                  </w:r>
                </w:p>
              </w:tc>
              <w:tc>
                <w:tcPr>
                  <w:tcW w:w="2347" w:type="dxa"/>
                  <w:gridSpan w:val="3"/>
                  <w:vAlign w:val="center"/>
                </w:tcPr>
                <w:p w14:paraId="547A1123">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w:t>
                  </w:r>
                </w:p>
              </w:tc>
              <w:tc>
                <w:tcPr>
                  <w:tcW w:w="1355" w:type="dxa"/>
                  <w:vAlign w:val="center"/>
                </w:tcPr>
                <w:p w14:paraId="2C56F92C">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0.3</w:t>
                  </w:r>
                </w:p>
              </w:tc>
              <w:tc>
                <w:tcPr>
                  <w:tcW w:w="1114" w:type="dxa"/>
                  <w:vAlign w:val="center"/>
                </w:tcPr>
                <w:p w14:paraId="10573E60">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0.27</w:t>
                  </w:r>
                </w:p>
              </w:tc>
            </w:tr>
            <w:tr w14:paraId="5F3D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vMerge w:val="restart"/>
                  <w:vAlign w:val="center"/>
                </w:tcPr>
                <w:p w14:paraId="648A1D1D">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血透</w:t>
                  </w:r>
                </w:p>
                <w:p w14:paraId="3288F6AE">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中心</w:t>
                  </w:r>
                </w:p>
              </w:tc>
              <w:tc>
                <w:tcPr>
                  <w:tcW w:w="1852" w:type="dxa"/>
                  <w:vAlign w:val="center"/>
                </w:tcPr>
                <w:p w14:paraId="6E8AEA43">
                  <w:pPr>
                    <w:keepNext w:val="0"/>
                    <w:keepLines w:val="0"/>
                    <w:suppressLineNumbers w:val="0"/>
                    <w:adjustRightInd w:val="0"/>
                    <w:snapToGrid w:val="0"/>
                    <w:spacing w:before="0" w:beforeAutospacing="0" w:after="0" w:afterAutospacing="0" w:line="280" w:lineRule="exact"/>
                    <w:ind w:left="-73" w:leftChars="-35" w:right="-67" w:rightChars="-32"/>
                    <w:jc w:val="center"/>
                    <w:rPr>
                      <w:rFonts w:hint="default"/>
                      <w:color w:val="auto"/>
                      <w:sz w:val="18"/>
                      <w:szCs w:val="18"/>
                    </w:rPr>
                  </w:pPr>
                  <w:r>
                    <w:rPr>
                      <w:rFonts w:hint="eastAsia"/>
                      <w:color w:val="auto"/>
                      <w:sz w:val="18"/>
                      <w:szCs w:val="18"/>
                    </w:rPr>
                    <w:t>透析机预冲洗</w:t>
                  </w:r>
                </w:p>
              </w:tc>
              <w:tc>
                <w:tcPr>
                  <w:tcW w:w="1191" w:type="dxa"/>
                  <w:gridSpan w:val="2"/>
                  <w:vAlign w:val="center"/>
                </w:tcPr>
                <w:p w14:paraId="645B8DBE">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p>
              </w:tc>
              <w:tc>
                <w:tcPr>
                  <w:tcW w:w="1156" w:type="dxa"/>
                  <w:vAlign w:val="center"/>
                </w:tcPr>
                <w:p w14:paraId="711C0BC3">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p>
              </w:tc>
              <w:tc>
                <w:tcPr>
                  <w:tcW w:w="1355" w:type="dxa"/>
                  <w:vAlign w:val="center"/>
                </w:tcPr>
                <w:p w14:paraId="694997BC">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外购生理盐水</w:t>
                  </w:r>
                </w:p>
              </w:tc>
              <w:tc>
                <w:tcPr>
                  <w:tcW w:w="1114" w:type="dxa"/>
                  <w:vAlign w:val="center"/>
                </w:tcPr>
                <w:p w14:paraId="394F241E">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0.84</w:t>
                  </w:r>
                </w:p>
              </w:tc>
            </w:tr>
            <w:tr w14:paraId="75EC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vMerge w:val="continue"/>
                  <w:vAlign w:val="center"/>
                </w:tcPr>
                <w:p w14:paraId="3D1FE24A">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p>
              </w:tc>
              <w:tc>
                <w:tcPr>
                  <w:tcW w:w="1852" w:type="dxa"/>
                  <w:vAlign w:val="center"/>
                </w:tcPr>
                <w:p w14:paraId="2313F876">
                  <w:pPr>
                    <w:keepNext w:val="0"/>
                    <w:keepLines w:val="0"/>
                    <w:suppressLineNumbers w:val="0"/>
                    <w:adjustRightInd w:val="0"/>
                    <w:snapToGrid w:val="0"/>
                    <w:spacing w:before="0" w:beforeAutospacing="0" w:after="0" w:afterAutospacing="0" w:line="280" w:lineRule="exact"/>
                    <w:ind w:left="-73" w:leftChars="-35" w:right="-67" w:rightChars="-32"/>
                    <w:jc w:val="center"/>
                    <w:rPr>
                      <w:rFonts w:hint="default"/>
                      <w:color w:val="auto"/>
                      <w:sz w:val="18"/>
                      <w:szCs w:val="18"/>
                    </w:rPr>
                  </w:pPr>
                  <w:r>
                    <w:rPr>
                      <w:rFonts w:hint="eastAsia"/>
                      <w:color w:val="auto"/>
                      <w:sz w:val="18"/>
                      <w:szCs w:val="18"/>
                    </w:rPr>
                    <w:t>透析液配比</w:t>
                  </w:r>
                </w:p>
              </w:tc>
              <w:tc>
                <w:tcPr>
                  <w:tcW w:w="1191" w:type="dxa"/>
                  <w:gridSpan w:val="2"/>
                  <w:vAlign w:val="center"/>
                </w:tcPr>
                <w:p w14:paraId="4BAFD6D6">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w:t>
                  </w:r>
                </w:p>
              </w:tc>
              <w:tc>
                <w:tcPr>
                  <w:tcW w:w="1156" w:type="dxa"/>
                  <w:vAlign w:val="center"/>
                </w:tcPr>
                <w:p w14:paraId="53200F82">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w:t>
                  </w:r>
                </w:p>
              </w:tc>
              <w:tc>
                <w:tcPr>
                  <w:tcW w:w="1355" w:type="dxa"/>
                  <w:vAlign w:val="center"/>
                </w:tcPr>
                <w:p w14:paraId="3B179A41">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0.204</w:t>
                  </w:r>
                </w:p>
              </w:tc>
              <w:tc>
                <w:tcPr>
                  <w:tcW w:w="1114" w:type="dxa"/>
                  <w:vAlign w:val="center"/>
                </w:tcPr>
                <w:p w14:paraId="25AE96B2">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w:t>
                  </w:r>
                </w:p>
              </w:tc>
            </w:tr>
            <w:tr w14:paraId="38A1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vMerge w:val="continue"/>
                  <w:vAlign w:val="center"/>
                </w:tcPr>
                <w:p w14:paraId="4D8FC07E">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p>
              </w:tc>
              <w:tc>
                <w:tcPr>
                  <w:tcW w:w="1852" w:type="dxa"/>
                  <w:vAlign w:val="center"/>
                </w:tcPr>
                <w:p w14:paraId="14033743">
                  <w:pPr>
                    <w:keepNext w:val="0"/>
                    <w:keepLines w:val="0"/>
                    <w:suppressLineNumbers w:val="0"/>
                    <w:adjustRightInd w:val="0"/>
                    <w:snapToGrid w:val="0"/>
                    <w:spacing w:before="0" w:beforeAutospacing="0" w:after="0" w:afterAutospacing="0" w:line="280" w:lineRule="exact"/>
                    <w:ind w:left="-73" w:leftChars="-35" w:right="-67" w:rightChars="-32"/>
                    <w:jc w:val="center"/>
                    <w:rPr>
                      <w:rFonts w:hint="default"/>
                      <w:color w:val="auto"/>
                      <w:sz w:val="18"/>
                      <w:szCs w:val="18"/>
                    </w:rPr>
                  </w:pPr>
                  <w:r>
                    <w:rPr>
                      <w:rFonts w:hint="eastAsia"/>
                      <w:color w:val="auto"/>
                      <w:sz w:val="18"/>
                      <w:szCs w:val="18"/>
                    </w:rPr>
                    <w:t>透析、透析机消毒清洗</w:t>
                  </w:r>
                </w:p>
              </w:tc>
              <w:tc>
                <w:tcPr>
                  <w:tcW w:w="1191" w:type="dxa"/>
                  <w:gridSpan w:val="2"/>
                  <w:vAlign w:val="center"/>
                </w:tcPr>
                <w:p w14:paraId="1A46197A">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w:t>
                  </w:r>
                </w:p>
              </w:tc>
              <w:tc>
                <w:tcPr>
                  <w:tcW w:w="1156" w:type="dxa"/>
                  <w:vAlign w:val="center"/>
                </w:tcPr>
                <w:p w14:paraId="1CF71B83">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w:t>
                  </w:r>
                </w:p>
              </w:tc>
              <w:tc>
                <w:tcPr>
                  <w:tcW w:w="1355" w:type="dxa"/>
                  <w:vAlign w:val="center"/>
                </w:tcPr>
                <w:p w14:paraId="349046AF">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5.796</w:t>
                  </w:r>
                </w:p>
              </w:tc>
              <w:tc>
                <w:tcPr>
                  <w:tcW w:w="1114" w:type="dxa"/>
                  <w:vAlign w:val="center"/>
                </w:tcPr>
                <w:p w14:paraId="561758CB">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5.796</w:t>
                  </w:r>
                </w:p>
              </w:tc>
            </w:tr>
            <w:tr w14:paraId="741D2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9" w:type="dxa"/>
                  <w:vMerge w:val="continue"/>
                  <w:vAlign w:val="center"/>
                </w:tcPr>
                <w:p w14:paraId="5F74A214">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p>
              </w:tc>
              <w:tc>
                <w:tcPr>
                  <w:tcW w:w="1852" w:type="dxa"/>
                  <w:vAlign w:val="center"/>
                </w:tcPr>
                <w:p w14:paraId="124DA0D1">
                  <w:pPr>
                    <w:keepNext w:val="0"/>
                    <w:keepLines w:val="0"/>
                    <w:suppressLineNumbers w:val="0"/>
                    <w:adjustRightInd w:val="0"/>
                    <w:snapToGrid w:val="0"/>
                    <w:spacing w:before="0" w:beforeAutospacing="0" w:after="0" w:afterAutospacing="0" w:line="280" w:lineRule="exact"/>
                    <w:ind w:left="-73" w:leftChars="-35" w:right="-67" w:rightChars="-32"/>
                    <w:jc w:val="center"/>
                    <w:rPr>
                      <w:rFonts w:hint="default"/>
                      <w:color w:val="auto"/>
                      <w:sz w:val="18"/>
                      <w:szCs w:val="18"/>
                    </w:rPr>
                  </w:pPr>
                  <w:r>
                    <w:rPr>
                      <w:rFonts w:hint="eastAsia"/>
                      <w:color w:val="auto"/>
                      <w:sz w:val="18"/>
                      <w:szCs w:val="18"/>
                    </w:rPr>
                    <w:t>纯水制备</w:t>
                  </w:r>
                </w:p>
              </w:tc>
              <w:tc>
                <w:tcPr>
                  <w:tcW w:w="1191" w:type="dxa"/>
                  <w:gridSpan w:val="2"/>
                  <w:vAlign w:val="center"/>
                </w:tcPr>
                <w:p w14:paraId="58D02458">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w:t>
                  </w:r>
                </w:p>
              </w:tc>
              <w:tc>
                <w:tcPr>
                  <w:tcW w:w="1156" w:type="dxa"/>
                  <w:vAlign w:val="center"/>
                </w:tcPr>
                <w:p w14:paraId="0CA04F73">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w:t>
                  </w:r>
                </w:p>
              </w:tc>
              <w:tc>
                <w:tcPr>
                  <w:tcW w:w="1355" w:type="dxa"/>
                  <w:vAlign w:val="center"/>
                </w:tcPr>
                <w:p w14:paraId="431B2E87">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10</w:t>
                  </w:r>
                </w:p>
              </w:tc>
              <w:tc>
                <w:tcPr>
                  <w:tcW w:w="1114" w:type="dxa"/>
                  <w:vAlign w:val="center"/>
                </w:tcPr>
                <w:p w14:paraId="46F6DA83">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4</w:t>
                  </w:r>
                </w:p>
              </w:tc>
            </w:tr>
            <w:bookmarkEnd w:id="2"/>
            <w:bookmarkEnd w:id="3"/>
            <w:bookmarkEnd w:id="4"/>
            <w:tr w14:paraId="0A69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1" w:type="dxa"/>
                  <w:gridSpan w:val="2"/>
                  <w:vAlign w:val="center"/>
                </w:tcPr>
                <w:p w14:paraId="1A743A6B">
                  <w:pPr>
                    <w:keepNext w:val="0"/>
                    <w:keepLines w:val="0"/>
                    <w:suppressLineNumbers w:val="0"/>
                    <w:adjustRightInd w:val="0"/>
                    <w:snapToGrid w:val="0"/>
                    <w:spacing w:before="0" w:beforeAutospacing="0" w:after="0" w:afterAutospacing="0" w:line="280" w:lineRule="exact"/>
                    <w:ind w:left="0" w:right="0"/>
                    <w:jc w:val="center"/>
                    <w:rPr>
                      <w:rFonts w:hint="default"/>
                      <w:b/>
                      <w:i/>
                      <w:color w:val="auto"/>
                      <w:sz w:val="18"/>
                      <w:szCs w:val="18"/>
                    </w:rPr>
                  </w:pPr>
                  <w:r>
                    <w:rPr>
                      <w:rFonts w:hint="default"/>
                      <w:b/>
                      <w:i/>
                      <w:color w:val="auto"/>
                      <w:sz w:val="18"/>
                      <w:szCs w:val="18"/>
                    </w:rPr>
                    <w:t>小  计</w:t>
                  </w:r>
                </w:p>
              </w:tc>
              <w:tc>
                <w:tcPr>
                  <w:tcW w:w="2347" w:type="dxa"/>
                  <w:gridSpan w:val="3"/>
                  <w:vAlign w:val="center"/>
                </w:tcPr>
                <w:p w14:paraId="587D857E">
                  <w:pPr>
                    <w:keepNext w:val="0"/>
                    <w:keepLines w:val="0"/>
                    <w:suppressLineNumbers w:val="0"/>
                    <w:adjustRightInd w:val="0"/>
                    <w:snapToGrid w:val="0"/>
                    <w:spacing w:before="0" w:beforeAutospacing="0" w:after="0" w:afterAutospacing="0" w:line="280" w:lineRule="exact"/>
                    <w:ind w:left="0" w:right="0"/>
                    <w:jc w:val="center"/>
                    <w:rPr>
                      <w:rFonts w:hint="default"/>
                      <w:b/>
                      <w:i/>
                      <w:color w:val="auto"/>
                      <w:sz w:val="18"/>
                      <w:szCs w:val="18"/>
                    </w:rPr>
                  </w:pPr>
                  <w:r>
                    <w:rPr>
                      <w:rFonts w:hint="default"/>
                      <w:b/>
                      <w:i/>
                      <w:color w:val="auto"/>
                      <w:sz w:val="18"/>
                      <w:szCs w:val="18"/>
                    </w:rPr>
                    <w:t>－</w:t>
                  </w:r>
                </w:p>
              </w:tc>
              <w:tc>
                <w:tcPr>
                  <w:tcW w:w="1355" w:type="dxa"/>
                  <w:vAlign w:val="center"/>
                </w:tcPr>
                <w:p w14:paraId="21886267">
                  <w:pPr>
                    <w:keepNext w:val="0"/>
                    <w:keepLines w:val="0"/>
                    <w:suppressLineNumbers w:val="0"/>
                    <w:adjustRightInd w:val="0"/>
                    <w:snapToGrid w:val="0"/>
                    <w:spacing w:before="0" w:beforeAutospacing="0" w:after="0" w:afterAutospacing="0" w:line="280" w:lineRule="exact"/>
                    <w:ind w:left="0" w:right="0"/>
                    <w:jc w:val="center"/>
                    <w:rPr>
                      <w:rFonts w:hint="default"/>
                      <w:b/>
                      <w:i/>
                      <w:color w:val="auto"/>
                      <w:sz w:val="18"/>
                      <w:szCs w:val="18"/>
                    </w:rPr>
                  </w:pPr>
                  <w:r>
                    <w:rPr>
                      <w:rFonts w:hint="eastAsia"/>
                      <w:b/>
                      <w:i/>
                      <w:color w:val="auto"/>
                      <w:sz w:val="18"/>
                      <w:szCs w:val="18"/>
                    </w:rPr>
                    <w:t>34.3</w:t>
                  </w:r>
                </w:p>
              </w:tc>
              <w:tc>
                <w:tcPr>
                  <w:tcW w:w="1114" w:type="dxa"/>
                  <w:vAlign w:val="center"/>
                </w:tcPr>
                <w:p w14:paraId="1C44F7F1">
                  <w:pPr>
                    <w:keepNext w:val="0"/>
                    <w:keepLines w:val="0"/>
                    <w:suppressLineNumbers w:val="0"/>
                    <w:adjustRightInd w:val="0"/>
                    <w:snapToGrid w:val="0"/>
                    <w:spacing w:before="0" w:beforeAutospacing="0" w:after="0" w:afterAutospacing="0" w:line="280" w:lineRule="exact"/>
                    <w:ind w:left="0" w:right="0"/>
                    <w:jc w:val="center"/>
                    <w:rPr>
                      <w:rFonts w:hint="default"/>
                      <w:b/>
                      <w:color w:val="auto"/>
                      <w:sz w:val="18"/>
                      <w:szCs w:val="18"/>
                    </w:rPr>
                  </w:pPr>
                  <w:r>
                    <w:rPr>
                      <w:rFonts w:hint="eastAsia"/>
                      <w:b/>
                      <w:color w:val="auto"/>
                      <w:sz w:val="18"/>
                      <w:szCs w:val="18"/>
                    </w:rPr>
                    <w:t>32.51</w:t>
                  </w:r>
                </w:p>
              </w:tc>
            </w:tr>
            <w:tr w14:paraId="6FBFD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909" w:type="dxa"/>
                  <w:vAlign w:val="center"/>
                </w:tcPr>
                <w:p w14:paraId="3EDB0CE3">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其他</w:t>
                  </w:r>
                </w:p>
                <w:p w14:paraId="46F3AA68">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用水</w:t>
                  </w:r>
                </w:p>
              </w:tc>
              <w:tc>
                <w:tcPr>
                  <w:tcW w:w="1852" w:type="dxa"/>
                  <w:vAlign w:val="center"/>
                </w:tcPr>
                <w:p w14:paraId="1A280AA3">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消毒用水</w:t>
                  </w:r>
                </w:p>
              </w:tc>
              <w:tc>
                <w:tcPr>
                  <w:tcW w:w="1139" w:type="dxa"/>
                  <w:vAlign w:val="center"/>
                </w:tcPr>
                <w:p w14:paraId="05C09754">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w:t>
                  </w:r>
                </w:p>
              </w:tc>
              <w:tc>
                <w:tcPr>
                  <w:tcW w:w="1208" w:type="dxa"/>
                  <w:gridSpan w:val="2"/>
                  <w:vAlign w:val="center"/>
                </w:tcPr>
                <w:p w14:paraId="168C729A">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w:t>
                  </w:r>
                </w:p>
              </w:tc>
              <w:tc>
                <w:tcPr>
                  <w:tcW w:w="1355" w:type="dxa"/>
                  <w:vAlign w:val="center"/>
                </w:tcPr>
                <w:p w14:paraId="0237B315">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0.2</w:t>
                  </w:r>
                </w:p>
              </w:tc>
              <w:tc>
                <w:tcPr>
                  <w:tcW w:w="1114" w:type="dxa"/>
                  <w:vMerge w:val="restart"/>
                  <w:vAlign w:val="center"/>
                </w:tcPr>
                <w:p w14:paraId="2EE7E54A">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不计入</w:t>
                  </w:r>
                </w:p>
                <w:p w14:paraId="4DFCE983">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排水</w:t>
                  </w:r>
                </w:p>
              </w:tc>
            </w:tr>
            <w:tr w14:paraId="1FB69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1" w:type="dxa"/>
                  <w:gridSpan w:val="2"/>
                  <w:vAlign w:val="center"/>
                </w:tcPr>
                <w:p w14:paraId="65322C22">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b/>
                      <w:i/>
                      <w:color w:val="auto"/>
                      <w:sz w:val="18"/>
                      <w:szCs w:val="18"/>
                    </w:rPr>
                    <w:t>小</w:t>
                  </w:r>
                  <w:r>
                    <w:rPr>
                      <w:rFonts w:hint="eastAsia"/>
                      <w:b/>
                      <w:i/>
                      <w:color w:val="auto"/>
                      <w:sz w:val="18"/>
                      <w:szCs w:val="18"/>
                    </w:rPr>
                    <w:t xml:space="preserve"> </w:t>
                  </w:r>
                  <w:r>
                    <w:rPr>
                      <w:rFonts w:hint="default"/>
                      <w:b/>
                      <w:i/>
                      <w:color w:val="auto"/>
                      <w:sz w:val="18"/>
                      <w:szCs w:val="18"/>
                    </w:rPr>
                    <w:t>计</w:t>
                  </w:r>
                </w:p>
              </w:tc>
              <w:tc>
                <w:tcPr>
                  <w:tcW w:w="1139" w:type="dxa"/>
                  <w:vAlign w:val="center"/>
                </w:tcPr>
                <w:p w14:paraId="29C1CD72">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w:t>
                  </w:r>
                </w:p>
              </w:tc>
              <w:tc>
                <w:tcPr>
                  <w:tcW w:w="1208" w:type="dxa"/>
                  <w:gridSpan w:val="2"/>
                  <w:vAlign w:val="center"/>
                </w:tcPr>
                <w:p w14:paraId="4D1D88AC">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w:t>
                  </w:r>
                </w:p>
              </w:tc>
              <w:tc>
                <w:tcPr>
                  <w:tcW w:w="1355" w:type="dxa"/>
                  <w:vAlign w:val="center"/>
                </w:tcPr>
                <w:p w14:paraId="7C435E22">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b/>
                      <w:i/>
                      <w:color w:val="auto"/>
                      <w:sz w:val="18"/>
                      <w:szCs w:val="18"/>
                    </w:rPr>
                    <w:t>0.2</w:t>
                  </w:r>
                </w:p>
              </w:tc>
              <w:tc>
                <w:tcPr>
                  <w:tcW w:w="1114" w:type="dxa"/>
                  <w:vMerge w:val="continue"/>
                  <w:vAlign w:val="center"/>
                </w:tcPr>
                <w:p w14:paraId="4F22CAC3">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p>
              </w:tc>
            </w:tr>
            <w:tr w14:paraId="58F24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1" w:type="dxa"/>
                  <w:gridSpan w:val="2"/>
                  <w:vAlign w:val="center"/>
                </w:tcPr>
                <w:p w14:paraId="26918E3E">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未预见水和漏失水</w:t>
                  </w:r>
                </w:p>
              </w:tc>
              <w:tc>
                <w:tcPr>
                  <w:tcW w:w="2347" w:type="dxa"/>
                  <w:gridSpan w:val="3"/>
                  <w:vAlign w:val="center"/>
                </w:tcPr>
                <w:p w14:paraId="6A325950">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按以上用水量的10%计</w:t>
                  </w:r>
                </w:p>
              </w:tc>
              <w:tc>
                <w:tcPr>
                  <w:tcW w:w="1355" w:type="dxa"/>
                  <w:vAlign w:val="center"/>
                </w:tcPr>
                <w:p w14:paraId="304D5666">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eastAsia"/>
                      <w:color w:val="auto"/>
                      <w:sz w:val="18"/>
                      <w:szCs w:val="18"/>
                    </w:rPr>
                    <w:t>3.72</w:t>
                  </w:r>
                </w:p>
              </w:tc>
              <w:tc>
                <w:tcPr>
                  <w:tcW w:w="1114" w:type="dxa"/>
                  <w:vMerge w:val="continue"/>
                  <w:vAlign w:val="center"/>
                </w:tcPr>
                <w:p w14:paraId="7D2FE0E4">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p>
              </w:tc>
            </w:tr>
            <w:tr w14:paraId="71535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61" w:type="dxa"/>
                  <w:gridSpan w:val="2"/>
                  <w:vAlign w:val="center"/>
                </w:tcPr>
                <w:p w14:paraId="24F4DDCA">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合计</w:t>
                  </w:r>
                </w:p>
              </w:tc>
              <w:tc>
                <w:tcPr>
                  <w:tcW w:w="1139" w:type="dxa"/>
                  <w:vAlign w:val="center"/>
                </w:tcPr>
                <w:p w14:paraId="22B83DCA">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w:t>
                  </w:r>
                </w:p>
              </w:tc>
              <w:tc>
                <w:tcPr>
                  <w:tcW w:w="1208" w:type="dxa"/>
                  <w:gridSpan w:val="2"/>
                  <w:vAlign w:val="center"/>
                </w:tcPr>
                <w:p w14:paraId="3F61BEC9">
                  <w:pPr>
                    <w:keepNext w:val="0"/>
                    <w:keepLines w:val="0"/>
                    <w:suppressLineNumbers w:val="0"/>
                    <w:adjustRightInd w:val="0"/>
                    <w:snapToGrid w:val="0"/>
                    <w:spacing w:before="0" w:beforeAutospacing="0" w:after="0" w:afterAutospacing="0" w:line="280" w:lineRule="exact"/>
                    <w:ind w:left="0" w:right="0"/>
                    <w:jc w:val="center"/>
                    <w:rPr>
                      <w:rFonts w:hint="default"/>
                      <w:color w:val="auto"/>
                      <w:sz w:val="18"/>
                      <w:szCs w:val="18"/>
                    </w:rPr>
                  </w:pPr>
                  <w:r>
                    <w:rPr>
                      <w:rFonts w:hint="default"/>
                      <w:color w:val="auto"/>
                      <w:sz w:val="18"/>
                      <w:szCs w:val="18"/>
                    </w:rPr>
                    <w:t>－</w:t>
                  </w:r>
                </w:p>
              </w:tc>
              <w:tc>
                <w:tcPr>
                  <w:tcW w:w="1355" w:type="dxa"/>
                  <w:vAlign w:val="center"/>
                </w:tcPr>
                <w:p w14:paraId="73BACFD9">
                  <w:pPr>
                    <w:keepNext w:val="0"/>
                    <w:keepLines w:val="0"/>
                    <w:suppressLineNumbers w:val="0"/>
                    <w:adjustRightInd w:val="0"/>
                    <w:snapToGrid w:val="0"/>
                    <w:spacing w:before="0" w:beforeAutospacing="0" w:after="0" w:afterAutospacing="0" w:line="280" w:lineRule="exact"/>
                    <w:ind w:left="0" w:right="0"/>
                    <w:jc w:val="center"/>
                    <w:rPr>
                      <w:rFonts w:hint="default"/>
                      <w:b/>
                      <w:color w:val="auto"/>
                      <w:sz w:val="18"/>
                      <w:szCs w:val="18"/>
                    </w:rPr>
                  </w:pPr>
                  <w:r>
                    <w:rPr>
                      <w:rFonts w:hint="eastAsia"/>
                      <w:b/>
                      <w:color w:val="auto"/>
                      <w:sz w:val="18"/>
                      <w:szCs w:val="18"/>
                    </w:rPr>
                    <w:t>40.92</w:t>
                  </w:r>
                </w:p>
              </w:tc>
              <w:tc>
                <w:tcPr>
                  <w:tcW w:w="1114" w:type="dxa"/>
                  <w:vAlign w:val="center"/>
                </w:tcPr>
                <w:p w14:paraId="3C5FEAE2">
                  <w:pPr>
                    <w:keepNext w:val="0"/>
                    <w:keepLines w:val="0"/>
                    <w:suppressLineNumbers w:val="0"/>
                    <w:adjustRightInd w:val="0"/>
                    <w:snapToGrid w:val="0"/>
                    <w:spacing w:before="0" w:beforeAutospacing="0" w:after="0" w:afterAutospacing="0" w:line="280" w:lineRule="exact"/>
                    <w:ind w:left="0" w:right="0"/>
                    <w:jc w:val="center"/>
                    <w:rPr>
                      <w:rFonts w:hint="default"/>
                      <w:b/>
                      <w:color w:val="auto"/>
                      <w:sz w:val="18"/>
                      <w:szCs w:val="18"/>
                    </w:rPr>
                  </w:pPr>
                  <w:r>
                    <w:rPr>
                      <w:rFonts w:hint="eastAsia"/>
                      <w:b/>
                      <w:color w:val="auto"/>
                      <w:sz w:val="18"/>
                      <w:szCs w:val="18"/>
                    </w:rPr>
                    <w:t>34.94</w:t>
                  </w:r>
                </w:p>
              </w:tc>
            </w:tr>
          </w:tbl>
          <w:p w14:paraId="7788E066">
            <w:pPr>
              <w:keepNext w:val="0"/>
              <w:keepLines w:val="0"/>
              <w:suppressLineNumbers w:val="0"/>
              <w:autoSpaceDE w:val="0"/>
              <w:autoSpaceDN w:val="0"/>
              <w:adjustRightInd w:val="0"/>
              <w:spacing w:before="0" w:beforeAutospacing="0" w:after="0" w:afterAutospacing="0" w:line="400" w:lineRule="exact"/>
              <w:ind w:left="0" w:right="0" w:firstLine="420" w:firstLineChars="200"/>
              <w:jc w:val="left"/>
              <w:rPr>
                <w:rFonts w:hint="default"/>
                <w:b/>
                <w:color w:val="auto"/>
                <w:kern w:val="0"/>
              </w:rPr>
            </w:pPr>
            <w:r>
              <w:rPr>
                <w:rFonts w:hint="default"/>
                <w:color w:val="auto"/>
                <w:kern w:val="0"/>
              </w:rPr>
              <w:t>综上分析，项目运营期的总用水量为</w:t>
            </w:r>
            <w:r>
              <w:rPr>
                <w:rFonts w:hint="eastAsia"/>
                <w:color w:val="auto"/>
                <w:kern w:val="0"/>
              </w:rPr>
              <w:t>40.92</w:t>
            </w:r>
            <w:r>
              <w:rPr>
                <w:rFonts w:hint="default"/>
                <w:color w:val="auto"/>
                <w:kern w:val="0"/>
              </w:rPr>
              <w:t>m</w:t>
            </w:r>
            <w:r>
              <w:rPr>
                <w:rFonts w:hint="default"/>
                <w:color w:val="auto"/>
                <w:kern w:val="0"/>
                <w:vertAlign w:val="superscript"/>
              </w:rPr>
              <w:t>3</w:t>
            </w:r>
            <w:r>
              <w:rPr>
                <w:rFonts w:hint="default"/>
                <w:color w:val="auto"/>
                <w:kern w:val="0"/>
              </w:rPr>
              <w:t>/d，废水排放量为</w:t>
            </w:r>
            <w:r>
              <w:rPr>
                <w:rFonts w:hint="eastAsia"/>
                <w:color w:val="auto"/>
                <w:kern w:val="0"/>
              </w:rPr>
              <w:t>34.94</w:t>
            </w:r>
            <w:r>
              <w:rPr>
                <w:rFonts w:hint="default"/>
                <w:color w:val="auto"/>
                <w:kern w:val="0"/>
              </w:rPr>
              <w:t>m</w:t>
            </w:r>
            <w:r>
              <w:rPr>
                <w:rFonts w:hint="default"/>
                <w:color w:val="auto"/>
                <w:kern w:val="0"/>
                <w:vertAlign w:val="superscript"/>
              </w:rPr>
              <w:t>3</w:t>
            </w:r>
            <w:r>
              <w:rPr>
                <w:rFonts w:hint="default"/>
                <w:color w:val="auto"/>
                <w:kern w:val="0"/>
              </w:rPr>
              <w:t>/d</w:t>
            </w:r>
            <w:r>
              <w:rPr>
                <w:rFonts w:hint="eastAsia"/>
                <w:color w:val="auto"/>
                <w:kern w:val="0"/>
              </w:rPr>
              <w:t>（其中含4</w:t>
            </w:r>
            <w:r>
              <w:rPr>
                <w:rFonts w:hint="default"/>
                <w:color w:val="auto"/>
                <w:kern w:val="0"/>
              </w:rPr>
              <w:t>m</w:t>
            </w:r>
            <w:r>
              <w:rPr>
                <w:rFonts w:hint="default"/>
                <w:color w:val="auto"/>
                <w:kern w:val="0"/>
                <w:vertAlign w:val="superscript"/>
              </w:rPr>
              <w:t>3</w:t>
            </w:r>
            <w:r>
              <w:rPr>
                <w:rFonts w:hint="default"/>
                <w:color w:val="auto"/>
                <w:kern w:val="0"/>
              </w:rPr>
              <w:t>/d</w:t>
            </w:r>
            <w:r>
              <w:rPr>
                <w:rFonts w:hint="eastAsia"/>
                <w:color w:val="auto"/>
                <w:kern w:val="0"/>
              </w:rPr>
              <w:t>纯水制备时产生的清净下水）。</w:t>
            </w:r>
          </w:p>
          <w:p w14:paraId="3C8F0B48">
            <w:pPr>
              <w:keepNext w:val="0"/>
              <w:keepLines w:val="0"/>
              <w:suppressLineNumbers w:val="0"/>
              <w:spacing w:before="0" w:beforeAutospacing="0" w:after="0" w:afterAutospacing="0" w:line="400" w:lineRule="exact"/>
              <w:ind w:left="0" w:right="0" w:firstLine="420" w:firstLineChars="200"/>
              <w:rPr>
                <w:rFonts w:hint="default" w:eastAsiaTheme="minorEastAsia"/>
                <w:bCs/>
                <w:color w:val="auto"/>
                <w:lang w:val="zh-CN"/>
              </w:rPr>
            </w:pPr>
            <w:r>
              <w:rPr>
                <w:rFonts w:hint="default" w:eastAsiaTheme="minorEastAsia"/>
                <w:bCs/>
                <w:color w:val="auto"/>
                <w:lang w:val="zh-CN"/>
              </w:rPr>
              <w:t>（2）</w:t>
            </w:r>
            <w:r>
              <w:rPr>
                <w:rFonts w:hint="eastAsia" w:eastAsiaTheme="minorEastAsia"/>
                <w:bCs/>
                <w:color w:val="auto"/>
                <w:lang w:val="zh-CN"/>
              </w:rPr>
              <w:t>水平衡图</w:t>
            </w:r>
          </w:p>
          <w:p w14:paraId="325F9C05">
            <w:pPr>
              <w:keepNext w:val="0"/>
              <w:keepLines w:val="0"/>
              <w:suppressLineNumbers w:val="0"/>
              <w:autoSpaceDE w:val="0"/>
              <w:autoSpaceDN w:val="0"/>
              <w:adjustRightInd w:val="0"/>
              <w:spacing w:before="0" w:beforeAutospacing="0" w:after="0" w:afterAutospacing="0" w:line="400" w:lineRule="exact"/>
              <w:ind w:left="0" w:right="0" w:firstLine="315" w:firstLineChars="150"/>
              <w:jc w:val="left"/>
              <w:rPr>
                <w:rFonts w:hint="default"/>
                <w:color w:val="auto"/>
              </w:rPr>
            </w:pPr>
            <w:r>
              <w:rPr>
                <w:rFonts w:hint="default"/>
                <w:color w:val="auto"/>
              </w:rPr>
              <w:t>营运期的水量平衡见下图。</w:t>
            </w:r>
          </w:p>
          <w:p w14:paraId="3EA343FA">
            <w:pPr>
              <w:keepNext w:val="0"/>
              <w:keepLines w:val="0"/>
              <w:suppressLineNumbers w:val="0"/>
              <w:spacing w:before="0" w:beforeAutospacing="0" w:after="0" w:afterAutospacing="0" w:line="560" w:lineRule="exact"/>
              <w:ind w:left="0" w:right="0" w:firstLine="420" w:firstLineChars="200"/>
              <w:rPr>
                <w:rFonts w:hint="default"/>
                <w:color w:val="auto"/>
                <w:sz w:val="28"/>
                <w:szCs w:val="28"/>
              </w:rPr>
            </w:pPr>
            <w:r>
              <w:rPr>
                <w:rFonts w:hint="default" w:eastAsia="黑体" w:cs="宋体"/>
                <w:color w:val="auto"/>
                <w:kern w:val="0"/>
                <w:szCs w:val="21"/>
              </w:rPr>
              <w:pict>
                <v:shape id="FreeForm 2869" o:spid="_x0000_s1031" style="position:absolute;left:0pt;margin-left:128.2pt;margin-top:21.8pt;height:11pt;width:14.65pt;z-index:251693056;mso-width-relative:page;mso-height-relative:page;" filled="f" coordsize="293,239" path="m0,239c15,217,67,118,91,110c115,102,108,211,142,193c176,175,273,30,293,0e">
                  <v:path arrowok="t"/>
                  <v:fill on="f" focussize="0,0"/>
                  <v:stroke dashstyle="dash" endarrow="block"/>
                  <v:imagedata o:title=""/>
                  <o:lock v:ext="edit"/>
                </v:shape>
              </w:pict>
            </w:r>
            <w:r>
              <w:rPr>
                <w:rFonts w:hint="default" w:eastAsia="黑体" w:cs="宋体"/>
                <w:color w:val="auto"/>
                <w:kern w:val="0"/>
                <w:szCs w:val="21"/>
              </w:rPr>
              <w:pict>
                <v:shape id="AutoShape 2868" o:spid="_x0000_s1030" o:spt="136" type="#_x0000_t136" style="position:absolute;left:0pt;margin-left:144.55pt;margin-top:18.6pt;height:7.1pt;width:30.7pt;z-index:251692032;mso-width-relative:page;mso-height-relative:page;" fillcolor="#000000" filled="t" coordsize="21600,21600">
                  <v:path/>
                  <v:fill on="t" focussize="0,0"/>
                  <v:stroke/>
                  <v:imagedata o:title=""/>
                  <o:lock v:ext="edit"/>
                  <v:textpath on="t" fitshape="t" fitpath="t" trim="t" xscale="f" string="损耗0.27" style="font-family:宋体;font-size:8pt;v-text-align:center;"/>
                </v:shape>
              </w:pict>
            </w:r>
          </w:p>
          <w:p w14:paraId="4091DB55">
            <w:pPr>
              <w:keepNext w:val="0"/>
              <w:keepLines w:val="0"/>
              <w:suppressLineNumbers w:val="0"/>
              <w:spacing w:before="0" w:beforeAutospacing="0" w:after="0" w:afterAutospacing="0" w:line="560" w:lineRule="exact"/>
              <w:ind w:left="0" w:right="0" w:firstLine="560" w:firstLineChars="200"/>
              <w:rPr>
                <w:rFonts w:hint="default"/>
                <w:color w:val="auto"/>
                <w:sz w:val="28"/>
                <w:szCs w:val="28"/>
              </w:rPr>
            </w:pPr>
            <w:r>
              <w:rPr>
                <w:rFonts w:hint="default"/>
                <w:color w:val="auto"/>
                <w:sz w:val="28"/>
                <w:szCs w:val="28"/>
              </w:rPr>
              <mc:AlternateContent>
                <mc:Choice Requires="wps">
                  <w:drawing>
                    <wp:anchor distT="0" distB="0" distL="114300" distR="114300" simplePos="0" relativeHeight="251666432" behindDoc="0" locked="0" layoutInCell="1" allowOverlap="1">
                      <wp:simplePos x="0" y="0"/>
                      <wp:positionH relativeFrom="column">
                        <wp:posOffset>590550</wp:posOffset>
                      </wp:positionH>
                      <wp:positionV relativeFrom="paragraph">
                        <wp:posOffset>196850</wp:posOffset>
                      </wp:positionV>
                      <wp:extent cx="635" cy="2735580"/>
                      <wp:effectExtent l="4445" t="0" r="13970" b="7620"/>
                      <wp:wrapNone/>
                      <wp:docPr id="11" name="直接连接符 11"/>
                      <wp:cNvGraphicFramePr/>
                      <a:graphic xmlns:a="http://schemas.openxmlformats.org/drawingml/2006/main">
                        <a:graphicData uri="http://schemas.microsoft.com/office/word/2010/wordprocessingShape">
                          <wps:wsp>
                            <wps:cNvCnPr/>
                            <wps:spPr>
                              <a:xfrm flipH="1">
                                <a:off x="0" y="0"/>
                                <a:ext cx="635" cy="273558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6.5pt;margin-top:15.5pt;height:215.4pt;width:0.05pt;z-index:251666432;mso-width-relative:page;mso-height-relative:page;" filled="f" stroked="t" coordsize="21600,21600" o:gfxdata="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3acCNcAAAAI&#10;AQAADwAAAAAAAAABACAAAAAiAAAAZHJzL2Rvd25yZXYueG1sUEsBAhQAFAAAAAgAh07iQFGE5i7k&#10;AQAAqAMAAA4AAAAAAAAAAQAgAAAAJgEAAGRycy9lMm9Eb2MueG1sUEsFBgAAAAAGAAYAWQEAAHwF&#10;AAAAAA==&#10;">
                      <v:fill on="f" focussize="0,0"/>
                      <v:stroke color="#000000 [3204]" joinstyle="round"/>
                      <v:imagedata o:title=""/>
                      <o:lock v:ext="edit" aspectratio="f"/>
                    </v:line>
                  </w:pict>
                </mc:Fallback>
              </mc:AlternateContent>
            </w:r>
            <w:r>
              <w:rPr>
                <w:rFonts w:hint="default" w:eastAsia="黑体" w:cs="宋体"/>
                <w:color w:val="auto"/>
                <w:kern w:val="0"/>
                <w:szCs w:val="21"/>
              </w:rPr>
              <w:pict>
                <v:rect id="_x0000_s1062" o:spid="_x0000_s1062" o:spt="1" style="position:absolute;left:0pt;margin-left:330.25pt;margin-top:25.9pt;height:33.45pt;width:57pt;z-index:251678720;mso-width-relative:page;mso-height-relative:page;" fillcolor="#FFFFFF" filled="t" stroked="t" coordsize="21600,21600">
                  <v:path/>
                  <v:fill on="t" color2="#FFFFFF" focussize="0,0"/>
                  <v:stroke color="#000000" joinstyle="miter"/>
                  <v:imagedata o:title=""/>
                  <o:lock v:ext="edit" aspectratio="f"/>
                  <v:textbox>
                    <w:txbxContent>
                      <w:p w14:paraId="0CB4A870">
                        <w:pPr>
                          <w:ind w:left="-105" w:leftChars="-50" w:right="-105" w:rightChars="-50"/>
                          <w:jc w:val="center"/>
                          <w:rPr>
                            <w:rFonts w:ascii="宋体" w:hAnsi="宋体"/>
                            <w:color w:val="000000"/>
                          </w:rPr>
                        </w:pPr>
                        <w:r>
                          <w:rPr>
                            <w:rFonts w:hint="eastAsia" w:ascii="宋体" w:hAnsi="宋体"/>
                            <w:color w:val="000000"/>
                            <w:lang w:val="en-US" w:eastAsia="zh-CN"/>
                          </w:rPr>
                          <w:t>自建</w:t>
                        </w:r>
                        <w:r>
                          <w:rPr>
                            <w:rFonts w:hint="eastAsia" w:ascii="宋体" w:hAnsi="宋体"/>
                            <w:color w:val="000000"/>
                          </w:rPr>
                          <w:t>污水管网</w:t>
                        </w:r>
                      </w:p>
                    </w:txbxContent>
                  </v:textbox>
                </v:rect>
              </w:pict>
            </w:r>
            <w:r>
              <w:rPr>
                <w:rFonts w:hint="default" w:eastAsia="黑体" w:cs="宋体"/>
                <w:color w:val="auto"/>
                <w:kern w:val="0"/>
                <w:szCs w:val="21"/>
              </w:rPr>
              <w:pict>
                <v:line id="_x0000_s1036" o:spid="_x0000_s1036" o:spt="20" style="position:absolute;left:0pt;margin-left:192.7pt;margin-top:16.05pt;height:0pt;width:34.8pt;z-index:251691008;mso-width-relative:page;mso-height-relative:page;" coordsize="21600,21600">
                  <v:path arrowok="t"/>
                  <v:fill focussize="0,0"/>
                  <v:stroke endarrow="block"/>
                  <v:imagedata o:title=""/>
                  <o:lock v:ext="edit"/>
                </v:line>
              </w:pict>
            </w:r>
            <w:r>
              <w:rPr>
                <w:rFonts w:hint="default" w:eastAsia="黑体" w:cs="宋体"/>
                <w:color w:val="auto"/>
                <w:kern w:val="0"/>
                <w:szCs w:val="21"/>
              </w:rPr>
              <w:pict>
                <v:shape id="_x0000_s1035" o:spid="_x0000_s1035" o:spt="202" type="#_x0000_t202" style="position:absolute;left:0pt;margin-left:58.45pt;margin-top:5.6pt;height:15.7pt;width:26.1pt;z-index:251689984;mso-width-relative:page;mso-height-relative:page;" filled="f" stroked="f" coordsize="21600,21600">
                  <v:path/>
                  <v:fill on="f" focussize="0,0"/>
                  <v:stroke on="f" joinstyle="miter"/>
                  <v:imagedata o:title=""/>
                  <o:lock v:ext="edit"/>
                  <v:textbox inset="0mm,0mm,0mm,0mm">
                    <w:txbxContent>
                      <w:p w14:paraId="3F3624BC">
                        <w:pPr>
                          <w:rPr>
                            <w:szCs w:val="18"/>
                          </w:rPr>
                        </w:pPr>
                        <w:r>
                          <w:rPr>
                            <w:rFonts w:hint="eastAsia"/>
                            <w:szCs w:val="18"/>
                          </w:rPr>
                          <w:t>2.7</w:t>
                        </w:r>
                      </w:p>
                      <w:p w14:paraId="06EB9A4B"/>
                    </w:txbxContent>
                  </v:textbox>
                </v:shape>
              </w:pict>
            </w:r>
            <w:r>
              <w:rPr>
                <w:rFonts w:hint="default" w:eastAsia="黑体" w:cs="宋体"/>
                <w:color w:val="auto"/>
                <w:kern w:val="0"/>
                <w:szCs w:val="21"/>
              </w:rPr>
              <w:pict>
                <v:shape id="Text Box 2872" o:spid="_x0000_s1034" o:spt="202" type="#_x0000_t202" style="position:absolute;left:0pt;margin-left:199.45pt;margin-top:5.55pt;height:15.65pt;width:26.1pt;z-index:251688960;mso-width-relative:page;mso-height-relative:page;" filled="f" stroked="f" coordsize="21600,21600">
                  <v:path/>
                  <v:fill on="f" focussize="0,0"/>
                  <v:stroke on="f" joinstyle="miter"/>
                  <v:imagedata o:title=""/>
                  <o:lock v:ext="edit"/>
                  <v:textbox inset="0mm,0mm,0mm,0mm">
                    <w:txbxContent>
                      <w:p w14:paraId="7884D953">
                        <w:pPr>
                          <w:rPr>
                            <w:szCs w:val="18"/>
                          </w:rPr>
                        </w:pPr>
                        <w:r>
                          <w:rPr>
                            <w:rFonts w:hint="eastAsia"/>
                            <w:szCs w:val="18"/>
                          </w:rPr>
                          <w:t>2.43</w:t>
                        </w:r>
                      </w:p>
                    </w:txbxContent>
                  </v:textbox>
                </v:shape>
              </w:pict>
            </w:r>
            <w:r>
              <w:rPr>
                <w:rFonts w:hint="default" w:eastAsia="黑体" w:cs="宋体"/>
                <w:color w:val="auto"/>
                <w:kern w:val="0"/>
                <w:szCs w:val="21"/>
              </w:rPr>
              <w:pict>
                <v:line id="_x0000_s1032" o:spid="_x0000_s1032" o:spt="20" style="position:absolute;left:0pt;margin-left:46.7pt;margin-top:16.05pt;height:0pt;width:41.6pt;z-index:251687936;mso-width-relative:page;mso-height-relative:page;" coordsize="21600,21600">
                  <v:path arrowok="t"/>
                  <v:fill focussize="0,0"/>
                  <v:stroke endarrow="block"/>
                  <v:imagedata o:title=""/>
                  <o:lock v:ext="edit"/>
                </v:line>
              </w:pict>
            </w:r>
            <w:r>
              <w:rPr>
                <w:rFonts w:hint="default" w:eastAsia="黑体" w:cs="宋体"/>
                <w:color w:val="auto"/>
                <w:kern w:val="0"/>
                <w:szCs w:val="21"/>
              </w:rPr>
              <w:pict>
                <v:rect id="_x0000_s1028" o:spid="_x0000_s1028" o:spt="1" style="position:absolute;left:0pt;margin-left:88.3pt;margin-top:5.6pt;height:21.5pt;width:104.4pt;z-index:251686912;mso-width-relative:page;mso-height-relative:page;" coordsize="21600,21600">
                  <v:path/>
                  <v:fill focussize="0,0"/>
                  <v:stroke/>
                  <v:imagedata o:title=""/>
                  <o:lock v:ext="edit"/>
                  <v:textbox>
                    <w:txbxContent>
                      <w:p w14:paraId="165BDC31">
                        <w:pPr>
                          <w:jc w:val="center"/>
                          <w:rPr>
                            <w:rFonts w:ascii="宋体" w:hAnsi="宋体"/>
                            <w:color w:val="000000"/>
                          </w:rPr>
                        </w:pPr>
                        <w:r>
                          <w:rPr>
                            <w:rFonts w:hint="eastAsia" w:ascii="宋体" w:hAnsi="宋体"/>
                            <w:color w:val="000000"/>
                          </w:rPr>
                          <w:t>门诊病人、医务办公</w:t>
                        </w:r>
                      </w:p>
                    </w:txbxContent>
                  </v:textbox>
                </v:rect>
              </w:pict>
            </w:r>
            <w:r>
              <w:rPr>
                <w:rFonts w:hint="default" w:eastAsia="黑体" w:cs="宋体"/>
                <w:color w:val="auto"/>
                <w:kern w:val="0"/>
                <w:szCs w:val="21"/>
              </w:rPr>
              <w:pict>
                <v:rect id="Rectangle 2866" o:spid="_x0000_s1059" o:spt="1" style="position:absolute;left:0pt;margin-left:262.25pt;margin-top:12.25pt;height:63.3pt;width:33.25pt;z-index:251676672;mso-width-relative:page;mso-height-relative:page;" coordsize="21600,21600">
                  <v:path/>
                  <v:fill focussize="0,0"/>
                  <v:stroke/>
                  <v:imagedata o:title=""/>
                  <o:lock v:ext="edit"/>
                  <v:textbox>
                    <w:txbxContent>
                      <w:p w14:paraId="7D64CDAC">
                        <w:pPr>
                          <w:ind w:left="-105" w:leftChars="-50" w:right="-105" w:rightChars="-50"/>
                          <w:jc w:val="center"/>
                          <w:rPr>
                            <w:rFonts w:ascii="宋体" w:hAnsi="宋体"/>
                            <w:color w:val="000000"/>
                          </w:rPr>
                        </w:pPr>
                        <w:r>
                          <w:rPr>
                            <w:rFonts w:hint="eastAsia" w:ascii="宋体" w:hAnsi="宋体"/>
                            <w:color w:val="000000"/>
                          </w:rPr>
                          <w:t>医院污水处理站</w:t>
                        </w:r>
                      </w:p>
                    </w:txbxContent>
                  </v:textbox>
                </v:rect>
              </w:pict>
            </w:r>
            <w:r>
              <w:rPr>
                <w:rFonts w:hint="default" w:eastAsia="黑体" w:cs="宋体"/>
                <w:color w:val="auto"/>
                <w:kern w:val="0"/>
                <w:szCs w:val="21"/>
              </w:rPr>
              <w:pict>
                <v:line id="_x0000_s1060" o:spid="_x0000_s1060" o:spt="20" style="position:absolute;left:0pt;margin-left:295.5pt;margin-top:43.4pt;height:0pt;width:34.75pt;z-index:251677696;mso-width-relative:page;mso-height-relative:page;" coordsize="21600,21600">
                  <v:path arrowok="t"/>
                  <v:fill focussize="0,0"/>
                  <v:stroke endarrow="block"/>
                  <v:imagedata o:title=""/>
                  <o:lock v:ext="edit"/>
                </v:line>
              </w:pict>
            </w:r>
            <w:r>
              <w:rPr>
                <w:rFonts w:hint="default" w:eastAsia="黑体" w:cs="宋体"/>
                <w:color w:val="auto"/>
                <w:kern w:val="0"/>
                <w:szCs w:val="21"/>
              </w:rPr>
              <w:pict>
                <v:line id="Line 2870" o:spid="_x0000_s1057" o:spt="20" style="position:absolute;left:0pt;margin-left:227.5pt;margin-top:43.4pt;height:0pt;width:34.75pt;z-index:251674624;mso-width-relative:page;mso-height-relative:page;" coordsize="21600,21600">
                  <v:path arrowok="t"/>
                  <v:fill focussize="0,0"/>
                  <v:stroke endarrow="block"/>
                  <v:imagedata o:title=""/>
                  <o:lock v:ext="edit"/>
                </v:line>
              </w:pict>
            </w:r>
            <w:r>
              <w:rPr>
                <w:rFonts w:hint="default" w:eastAsia="黑体" w:cs="宋体"/>
                <w:color w:val="auto"/>
                <w:kern w:val="0"/>
                <w:szCs w:val="21"/>
              </w:rPr>
              <w:pict>
                <v:shape id="Text Box 2873" o:spid="_x0000_s1058" o:spt="202" type="#_x0000_t202" style="position:absolute;left:0pt;margin-left:233.95pt;margin-top:29.95pt;height:15.7pt;width:26.1pt;z-index:251675648;mso-width-relative:page;mso-height-relative:page;" filled="f" stroked="f" coordsize="21600,21600">
                  <v:path/>
                  <v:fill on="f" focussize="0,0"/>
                  <v:stroke on="f" joinstyle="miter"/>
                  <v:imagedata o:title=""/>
                  <o:lock v:ext="edit"/>
                  <v:textbox inset="0mm,0mm,0mm,0mm">
                    <w:txbxContent>
                      <w:p w14:paraId="2F4A992B">
                        <w:pPr>
                          <w:jc w:val="center"/>
                          <w:rPr>
                            <w:szCs w:val="18"/>
                          </w:rPr>
                        </w:pPr>
                        <w:r>
                          <w:rPr>
                            <w:rFonts w:hint="eastAsia"/>
                            <w:szCs w:val="18"/>
                          </w:rPr>
                          <w:t>24.3</w:t>
                        </w:r>
                      </w:p>
                    </w:txbxContent>
                  </v:textbox>
                </v:shape>
              </w:pict>
            </w:r>
            <w:r>
              <w:rPr>
                <w:rFonts w:hint="default"/>
                <w:color w:val="auto"/>
                <w:sz w:val="28"/>
                <w:szCs w:val="28"/>
              </w:rPr>
              <mc:AlternateContent>
                <mc:Choice Requires="wps">
                  <w:drawing>
                    <wp:anchor distT="0" distB="0" distL="114300" distR="114300" simplePos="0" relativeHeight="251667456" behindDoc="0" locked="0" layoutInCell="1" allowOverlap="1">
                      <wp:simplePos x="0" y="0"/>
                      <wp:positionH relativeFrom="column">
                        <wp:posOffset>2897505</wp:posOffset>
                      </wp:positionH>
                      <wp:positionV relativeFrom="paragraph">
                        <wp:posOffset>199390</wp:posOffset>
                      </wp:positionV>
                      <wp:extent cx="0" cy="718185"/>
                      <wp:effectExtent l="0" t="0" r="19050" b="24765"/>
                      <wp:wrapNone/>
                      <wp:docPr id="12" name="直接连接符 12"/>
                      <wp:cNvGraphicFramePr/>
                      <a:graphic xmlns:a="http://schemas.openxmlformats.org/drawingml/2006/main">
                        <a:graphicData uri="http://schemas.microsoft.com/office/word/2010/wordprocessingShape">
                          <wps:wsp>
                            <wps:cNvCnPr/>
                            <wps:spPr>
                              <a:xfrm>
                                <a:off x="0" y="0"/>
                                <a:ext cx="0" cy="718185"/>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8.15pt;margin-top:15.7pt;height:56.55pt;width:0pt;z-index:251667456;mso-width-relative:page;mso-height-relative:page;" filled="f" stroked="t" coordsize="21600,21600" o:gfxdata="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ADlCPTXAAAACgEAAA8AAAAAAAAAAQAg&#10;AAAAIgAAAGRycy9kb3ducmV2LnhtbFBLAQIUABQAAAAIAIdO4kDuHr0A1gEAAJsDAAAOAAAAAAAA&#10;AAEAIAAAACYBAABkcnMvZTJvRG9jLnhtbFBLBQYAAAAABgAGAFkBAABuBQAAAAA=&#10;">
                      <v:fill on="f" focussize="0,0"/>
                      <v:stroke color="#000000 [3204]" joinstyle="round"/>
                      <v:imagedata o:title=""/>
                      <o:lock v:ext="edit" aspectratio="f"/>
                    </v:line>
                  </w:pict>
                </mc:Fallback>
              </mc:AlternateContent>
            </w:r>
          </w:p>
          <w:p w14:paraId="0B6175C2">
            <w:pPr>
              <w:keepNext w:val="0"/>
              <w:keepLines w:val="0"/>
              <w:suppressLineNumbers w:val="0"/>
              <w:spacing w:before="0" w:beforeAutospacing="0" w:after="0" w:afterAutospacing="0" w:line="560" w:lineRule="exact"/>
              <w:ind w:left="0" w:right="0" w:firstLine="420" w:firstLineChars="200"/>
              <w:rPr>
                <w:rFonts w:hint="default"/>
                <w:color w:val="auto"/>
                <w:sz w:val="28"/>
                <w:szCs w:val="28"/>
              </w:rPr>
            </w:pPr>
            <w:r>
              <w:rPr>
                <w:rFonts w:hint="default" w:eastAsia="黑体" w:cs="宋体"/>
                <w:color w:val="auto"/>
                <w:kern w:val="0"/>
                <w:szCs w:val="21"/>
              </w:rPr>
              <mc:AlternateContent>
                <mc:Choice Requires="wps">
                  <w:drawing>
                    <wp:anchor distT="0" distB="0" distL="114300" distR="114300" simplePos="0" relativeHeight="251721728" behindDoc="0" locked="0" layoutInCell="1" allowOverlap="1">
                      <wp:simplePos x="0" y="0"/>
                      <wp:positionH relativeFrom="column">
                        <wp:posOffset>3785235</wp:posOffset>
                      </wp:positionH>
                      <wp:positionV relativeFrom="paragraph">
                        <wp:posOffset>17780</wp:posOffset>
                      </wp:positionV>
                      <wp:extent cx="392430" cy="199390"/>
                      <wp:effectExtent l="0" t="0" r="0" b="0"/>
                      <wp:wrapNone/>
                      <wp:docPr id="131" name="文本框 56"/>
                      <wp:cNvGraphicFramePr/>
                      <a:graphic xmlns:a="http://schemas.openxmlformats.org/drawingml/2006/main">
                        <a:graphicData uri="http://schemas.microsoft.com/office/word/2010/wordprocessingShape">
                          <wps:wsp>
                            <wps:cNvSpPr txBox="1"/>
                            <wps:spPr>
                              <a:xfrm>
                                <a:off x="0" y="0"/>
                                <a:ext cx="392430" cy="199390"/>
                              </a:xfrm>
                              <a:prstGeom prst="rect">
                                <a:avLst/>
                              </a:prstGeom>
                              <a:noFill/>
                              <a:ln>
                                <a:noFill/>
                              </a:ln>
                            </wps:spPr>
                            <wps:txbx>
                              <w:txbxContent>
                                <w:p w14:paraId="2BD0326B">
                                  <w:pPr>
                                    <w:jc w:val="center"/>
                                    <w:rPr>
                                      <w:rFonts w:hint="default" w:eastAsia="宋体"/>
                                      <w:szCs w:val="18"/>
                                      <w:lang w:val="en-US" w:eastAsia="zh-CN"/>
                                    </w:rPr>
                                  </w:pPr>
                                  <w:r>
                                    <w:rPr>
                                      <w:rFonts w:hint="eastAsia"/>
                                      <w:szCs w:val="18"/>
                                      <w:lang w:val="en-US" w:eastAsia="zh-CN"/>
                                    </w:rPr>
                                    <w:t>30.936</w:t>
                                  </w:r>
                                </w:p>
                              </w:txbxContent>
                            </wps:txbx>
                            <wps:bodyPr lIns="0" tIns="0" rIns="0" bIns="0" upright="1"/>
                          </wps:wsp>
                        </a:graphicData>
                      </a:graphic>
                    </wp:anchor>
                  </w:drawing>
                </mc:Choice>
                <mc:Fallback>
                  <w:pict>
                    <v:shape id="文本框 56" o:spid="_x0000_s1026" o:spt="202" type="#_x0000_t202" style="position:absolute;left:0pt;margin-left:298.05pt;margin-top:1.4pt;height:15.7pt;width:30.9pt;z-index:251721728;mso-width-relative:page;mso-height-relative:page;" filled="f" stroked="f" coordsize="21600,21600" o:gfxdata="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jQl89gAAAAIAQAADwAAAAAAAAABACAAAAAiAAAAZHJzL2Rvd25yZXYueG1sUEsB&#10;AhQAFAAAAAgAh07iQLoxyle8AQAAdAMAAA4AAAAAAAAAAQAgAAAAJwEAAGRycy9lMm9Eb2MueG1s&#10;UEsFBgAAAAAGAAYAWQEAAFUFAAAAAA==&#10;">
                      <v:fill on="f" focussize="0,0"/>
                      <v:stroke on="f"/>
                      <v:imagedata o:title=""/>
                      <o:lock v:ext="edit" aspectratio="f"/>
                      <v:textbox inset="0mm,0mm,0mm,0mm">
                        <w:txbxContent>
                          <w:p w14:paraId="2BD0326B">
                            <w:pPr>
                              <w:jc w:val="center"/>
                              <w:rPr>
                                <w:rFonts w:hint="default" w:eastAsia="宋体"/>
                                <w:szCs w:val="18"/>
                                <w:lang w:val="en-US" w:eastAsia="zh-CN"/>
                              </w:rPr>
                            </w:pPr>
                            <w:r>
                              <w:rPr>
                                <w:rFonts w:hint="eastAsia"/>
                                <w:szCs w:val="18"/>
                                <w:lang w:val="en-US" w:eastAsia="zh-CN"/>
                              </w:rPr>
                              <w:t>30.936</w:t>
                            </w:r>
                          </w:p>
                        </w:txbxContent>
                      </v:textbox>
                    </v:shape>
                  </w:pict>
                </mc:Fallback>
              </mc:AlternateContent>
            </w:r>
            <w:r>
              <w:rPr>
                <w:rFonts w:hint="default" w:eastAsia="黑体" w:cs="宋体"/>
                <w:color w:val="auto"/>
                <w:kern w:val="0"/>
                <w:szCs w:val="21"/>
              </w:rPr>
              <w:pict>
                <v:group id="_x0000_s1055" o:spid="_x0000_s1055" o:spt="203" style="position:absolute;left:0pt;margin-left:46.7pt;margin-top:17.65pt;height:35.7pt;width:180.8pt;z-index:251671552;mso-width-relative:page;mso-height-relative:page;" coordorigin="3799,3471" coordsize="3616,714">
                  <o:lock v:ext="edit"/>
                  <v:line id="_x0000_s1037" o:spid="_x0000_s1037" o:spt="20" style="position:absolute;left:3799;top:3980;height:0;width:832;" coordsize="21600,21600">
                    <v:path arrowok="t"/>
                    <v:fill focussize="0,0"/>
                    <v:stroke endarrow="block"/>
                    <v:imagedata o:title=""/>
                    <o:lock v:ext="edit"/>
                  </v:line>
                  <v:rect id="_x0000_s1038" o:spid="_x0000_s1038" o:spt="1" style="position:absolute;left:4631;top:3755;height:430;width:1739;" coordsize="21600,21600">
                    <v:path/>
                    <v:fill focussize="0,0"/>
                    <v:stroke/>
                    <v:imagedata o:title=""/>
                    <o:lock v:ext="edit"/>
                    <v:textbox>
                      <w:txbxContent>
                        <w:p w14:paraId="7F7628AC">
                          <w:pPr>
                            <w:jc w:val="center"/>
                            <w:rPr>
                              <w:rFonts w:ascii="宋体" w:hAnsi="宋体"/>
                              <w:color w:val="000000"/>
                            </w:rPr>
                          </w:pPr>
                          <w:r>
                            <w:rPr>
                              <w:rFonts w:hint="eastAsia" w:ascii="宋体" w:hAnsi="宋体"/>
                              <w:color w:val="000000"/>
                            </w:rPr>
                            <w:t>住院区、检验室</w:t>
                          </w:r>
                        </w:p>
                      </w:txbxContent>
                    </v:textbox>
                  </v:rect>
                  <v:group id="Group 2867" o:spid="_x0000_s1039" o:spt="203" style="position:absolute;left:5160;top:3471;height:284;width:941;" coordsize="941,309">
                    <o:lock v:ext="edit"/>
                    <v:shape id="_x0000_s1040" o:spid="_x0000_s1040" o:spt="136" type="#_x0000_t136" style="position:absolute;left:327;top:0;height:155;width:614;" fillcolor="#000000" filled="t" coordsize="21600,21600">
                      <v:path/>
                      <v:fill on="t" focussize="0,0"/>
                      <v:stroke/>
                      <v:imagedata o:title=""/>
                      <o:lock v:ext="edit"/>
                      <v:textpath on="t" fitshape="t" fitpath="t" trim="t" xscale="f" string="损耗2.43" style="font-family:宋体;font-size:8pt;v-text-align:center;"/>
                    </v:shape>
                    <v:shape id="_x0000_s1041" o:spid="_x0000_s1041" style="position:absolute;left:0;top:70;height:239;width:293;" filled="f" coordsize="293,239" path="m0,239c15,217,67,118,91,110c115,102,108,211,142,193c176,175,273,30,293,0e">
                      <v:path arrowok="t"/>
                      <v:fill on="f" focussize="0,0"/>
                      <v:stroke dashstyle="dash" endarrow="block"/>
                      <v:imagedata o:title=""/>
                      <o:lock v:ext="edit"/>
                    </v:shape>
                  </v:group>
                  <v:shape id="_x0000_s1042" o:spid="_x0000_s1042" o:spt="202" type="#_x0000_t202" style="position:absolute;left:3947;top:3755;height:314;width:522;" filled="f" stroked="f" coordsize="21600,21600">
                    <v:path/>
                    <v:fill on="f" focussize="0,0"/>
                    <v:stroke on="f" joinstyle="miter"/>
                    <v:imagedata o:title=""/>
                    <o:lock v:ext="edit"/>
                    <v:textbox inset="0mm,0mm,0mm,0mm">
                      <w:txbxContent>
                        <w:p w14:paraId="616C6359">
                          <w:pPr>
                            <w:rPr>
                              <w:szCs w:val="18"/>
                            </w:rPr>
                          </w:pPr>
                          <w:r>
                            <w:rPr>
                              <w:rFonts w:hint="eastAsia"/>
                              <w:szCs w:val="18"/>
                            </w:rPr>
                            <w:t>24.3</w:t>
                          </w:r>
                        </w:p>
                      </w:txbxContent>
                    </v:textbox>
                  </v:shape>
                  <v:line id="_x0000_s1043" o:spid="_x0000_s1043" o:spt="20" style="position:absolute;left:6370;top:3980;height:0;width:1045;" coordsize="21600,21600">
                    <v:path arrowok="t"/>
                    <v:fill focussize="0,0"/>
                    <v:stroke endarrow="block"/>
                    <v:imagedata o:title=""/>
                    <o:lock v:ext="edit"/>
                  </v:line>
                  <v:shape id="_x0000_s1044" o:spid="_x0000_s1044" o:spt="202" type="#_x0000_t202" style="position:absolute;left:6463;top:3755;height:314;width:522;" filled="f" stroked="f" coordsize="21600,21600">
                    <v:path/>
                    <v:fill on="f" focussize="0,0"/>
                    <v:stroke on="f" joinstyle="miter"/>
                    <v:imagedata o:title=""/>
                    <o:lock v:ext="edit"/>
                    <v:textbox inset="0mm,0mm,0mm,0mm">
                      <w:txbxContent>
                        <w:p w14:paraId="4158CD0F">
                          <w:pPr>
                            <w:rPr>
                              <w:szCs w:val="18"/>
                            </w:rPr>
                          </w:pPr>
                          <w:r>
                            <w:rPr>
                              <w:rFonts w:hint="eastAsia"/>
                              <w:szCs w:val="18"/>
                            </w:rPr>
                            <w:t>21.87</w:t>
                          </w:r>
                        </w:p>
                      </w:txbxContent>
                    </v:textbox>
                  </v:shape>
                </v:group>
              </w:pict>
            </w:r>
          </w:p>
          <w:p w14:paraId="77BFD99D">
            <w:pPr>
              <w:keepNext w:val="0"/>
              <w:keepLines w:val="0"/>
              <w:suppressLineNumbers w:val="0"/>
              <w:spacing w:before="0" w:beforeAutospacing="0" w:after="0" w:afterAutospacing="0" w:line="560" w:lineRule="exact"/>
              <w:ind w:left="0" w:right="0" w:firstLine="560" w:firstLineChars="200"/>
              <w:rPr>
                <w:rFonts w:hint="default"/>
                <w:color w:val="auto"/>
                <w:sz w:val="28"/>
                <w:szCs w:val="28"/>
              </w:rPr>
            </w:pPr>
            <w:r>
              <w:rPr>
                <w:rFonts w:hint="default"/>
                <w:color w:val="auto"/>
                <w:sz w:val="28"/>
                <w:szCs w:val="28"/>
              </w:rPr>
              <mc:AlternateContent>
                <mc:Choice Requires="wps">
                  <w:drawing>
                    <wp:anchor distT="0" distB="0" distL="114300" distR="114300" simplePos="0" relativeHeight="251725824" behindDoc="0" locked="0" layoutInCell="1" allowOverlap="1">
                      <wp:simplePos x="0" y="0"/>
                      <wp:positionH relativeFrom="column">
                        <wp:posOffset>3585845</wp:posOffset>
                      </wp:positionH>
                      <wp:positionV relativeFrom="paragraph">
                        <wp:posOffset>265430</wp:posOffset>
                      </wp:positionV>
                      <wp:extent cx="5080" cy="670560"/>
                      <wp:effectExtent l="37465" t="0" r="33655" b="15240"/>
                      <wp:wrapNone/>
                      <wp:docPr id="136" name="直接连接符 136"/>
                      <wp:cNvGraphicFramePr/>
                      <a:graphic xmlns:a="http://schemas.openxmlformats.org/drawingml/2006/main">
                        <a:graphicData uri="http://schemas.microsoft.com/office/word/2010/wordprocessingShape">
                          <wps:wsp>
                            <wps:cNvCnPr/>
                            <wps:spPr>
                              <a:xfrm>
                                <a:off x="0" y="0"/>
                                <a:ext cx="5080" cy="670560"/>
                              </a:xfrm>
                              <a:prstGeom prst="line">
                                <a:avLst/>
                              </a:prstGeom>
                              <a:ln>
                                <a:solidFill>
                                  <a:srgbClr val="000000"/>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82.35pt;margin-top:20.9pt;height:52.8pt;width:0.4pt;z-index:251725824;mso-width-relative:page;mso-height-relative:page;" filled="f" stroked="t" coordsize="21600,21600" o:gfxdata="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i1TGE2wAAAAoBAAAPAAAAAAAAAAEAIAAAACIAAABkcnMvZG93bnJldi54bWxQSwECFAAU&#10;AAAACACHTuJA1gjsT+4BAAC8AwAADgAAAAAAAAABACAAAAAqAQAAZHJzL2Uyb0RvYy54bWxQSwUG&#10;AAAAAAYABgBZAQAAigUAAAAA&#10;">
                      <v:fill on="f" focussize="0,0"/>
                      <v:stroke color="#000000 [3204]" joinstyle="round" startarrow="block"/>
                      <v:imagedata o:title=""/>
                      <o:lock v:ext="edit" aspectratio="f"/>
                    </v:line>
                  </w:pict>
                </mc:Fallback>
              </mc:AlternateContent>
            </w:r>
            <w:r>
              <w:rPr>
                <w:rFonts w:hint="default"/>
                <w:color w:val="auto"/>
                <w:sz w:val="21"/>
              </w:rPr>
              <mc:AlternateContent>
                <mc:Choice Requires="wps">
                  <w:drawing>
                    <wp:anchor distT="0" distB="0" distL="114300" distR="114300" simplePos="0" relativeHeight="251729920" behindDoc="0" locked="0" layoutInCell="1" allowOverlap="1">
                      <wp:simplePos x="0" y="0"/>
                      <wp:positionH relativeFrom="column">
                        <wp:posOffset>3412490</wp:posOffset>
                      </wp:positionH>
                      <wp:positionV relativeFrom="paragraph">
                        <wp:posOffset>343535</wp:posOffset>
                      </wp:positionV>
                      <wp:extent cx="381635" cy="199390"/>
                      <wp:effectExtent l="0" t="0" r="0" b="0"/>
                      <wp:wrapNone/>
                      <wp:docPr id="142" name="文本框 52"/>
                      <wp:cNvGraphicFramePr/>
                      <a:graphic xmlns:a="http://schemas.openxmlformats.org/drawingml/2006/main">
                        <a:graphicData uri="http://schemas.microsoft.com/office/word/2010/wordprocessingShape">
                          <wps:wsp>
                            <wps:cNvSpPr txBox="1"/>
                            <wps:spPr>
                              <a:xfrm>
                                <a:off x="0" y="0"/>
                                <a:ext cx="381635" cy="199390"/>
                              </a:xfrm>
                              <a:prstGeom prst="rect">
                                <a:avLst/>
                              </a:prstGeom>
                              <a:noFill/>
                              <a:ln>
                                <a:noFill/>
                              </a:ln>
                            </wps:spPr>
                            <wps:txbx>
                              <w:txbxContent>
                                <w:p w14:paraId="631102D5">
                                  <w:pPr>
                                    <w:rPr>
                                      <w:rFonts w:hint="default" w:eastAsia="宋体"/>
                                      <w:szCs w:val="18"/>
                                      <w:lang w:val="en-US" w:eastAsia="zh-CN"/>
                                    </w:rPr>
                                  </w:pPr>
                                  <w:r>
                                    <w:rPr>
                                      <w:rFonts w:hint="eastAsia"/>
                                      <w:szCs w:val="18"/>
                                      <w:lang w:val="en-US" w:eastAsia="zh-CN"/>
                                    </w:rPr>
                                    <w:t>6.636</w:t>
                                  </w:r>
                                </w:p>
                              </w:txbxContent>
                            </wps:txbx>
                            <wps:bodyPr lIns="0" tIns="0" rIns="0" bIns="0" upright="1"/>
                          </wps:wsp>
                        </a:graphicData>
                      </a:graphic>
                    </wp:anchor>
                  </w:drawing>
                </mc:Choice>
                <mc:Fallback>
                  <w:pict>
                    <v:shape id="文本框 52" o:spid="_x0000_s1026" o:spt="202" type="#_x0000_t202" style="position:absolute;left:0pt;margin-left:268.7pt;margin-top:27.05pt;height:15.7pt;width:30.05pt;z-index:251729920;mso-width-relative:page;mso-height-relative:page;" filled="f" stroked="f" coordsize="21600,21600" o:gfxdata="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3KHSl2QAAAAkBAAAPAAAAAAAAAAEAIAAAACIAAABkcnMvZG93bnJldi54bWxQ&#10;SwECFAAUAAAACACHTuJAlomvO70BAAB0AwAADgAAAAAAAAABACAAAAAoAQAAZHJzL2Uyb0RvYy54&#10;bWxQSwUGAAAAAAYABgBZAQAAVwUAAAAA&#10;">
                      <v:fill on="f" focussize="0,0"/>
                      <v:stroke on="f"/>
                      <v:imagedata o:title=""/>
                      <o:lock v:ext="edit" aspectratio="f"/>
                      <v:textbox inset="0mm,0mm,0mm,0mm">
                        <w:txbxContent>
                          <w:p w14:paraId="631102D5">
                            <w:pPr>
                              <w:rPr>
                                <w:rFonts w:hint="default" w:eastAsia="宋体"/>
                                <w:szCs w:val="18"/>
                                <w:lang w:val="en-US" w:eastAsia="zh-CN"/>
                              </w:rPr>
                            </w:pPr>
                            <w:r>
                              <w:rPr>
                                <w:rFonts w:hint="eastAsia"/>
                                <w:szCs w:val="18"/>
                                <w:lang w:val="en-US" w:eastAsia="zh-CN"/>
                              </w:rPr>
                              <w:t>6.636</w:t>
                            </w:r>
                          </w:p>
                        </w:txbxContent>
                      </v:textbox>
                    </v:shape>
                  </w:pict>
                </mc:Fallback>
              </mc:AlternateContent>
            </w:r>
            <w:r>
              <w:rPr>
                <w:rFonts w:hint="default" w:eastAsia="黑体" w:cs="宋体"/>
                <w:color w:val="auto"/>
                <w:kern w:val="0"/>
                <w:szCs w:val="21"/>
              </w:rPr>
              <w:pict>
                <v:shape id="_x0000_s1063" o:spid="_x0000_s1063" o:spt="202" type="#_x0000_t202" style="position:absolute;left:0pt;margin-left:334.2pt;margin-top:4.3pt;height:15.7pt;width:30.5pt;z-index:251679744;mso-width-relative:page;mso-height-relative:page;" filled="f" stroked="f" coordsize="21600,21600">
                  <v:path/>
                  <v:fill on="f" focussize="0,0"/>
                  <v:stroke on="f"/>
                  <v:imagedata o:title=""/>
                  <o:lock v:ext="edit" aspectratio="f"/>
                  <v:textbox inset="0mm,0mm,0mm,0mm">
                    <w:txbxContent>
                      <w:p w14:paraId="5B127F7A">
                        <w:pPr>
                          <w:jc w:val="center"/>
                          <w:rPr>
                            <w:rFonts w:hint="default" w:eastAsia="宋体"/>
                            <w:szCs w:val="18"/>
                            <w:lang w:val="en-US" w:eastAsia="zh-CN"/>
                          </w:rPr>
                        </w:pPr>
                        <w:r>
                          <w:rPr>
                            <w:rFonts w:hint="eastAsia"/>
                            <w:szCs w:val="18"/>
                            <w:lang w:val="en-US" w:eastAsia="zh-CN"/>
                          </w:rPr>
                          <w:t>30.936</w:t>
                        </w:r>
                      </w:p>
                    </w:txbxContent>
                  </v:textbox>
                </v:shape>
              </w:pict>
            </w:r>
            <w:r>
              <w:rPr>
                <w:rFonts w:hint="default" w:eastAsia="黑体" w:cs="宋体"/>
                <w:color w:val="auto"/>
                <w:kern w:val="0"/>
                <w:szCs w:val="21"/>
              </w:rPr>
              <mc:AlternateContent>
                <mc:Choice Requires="wps">
                  <w:drawing>
                    <wp:anchor distT="0" distB="0" distL="114300" distR="114300" simplePos="0" relativeHeight="251714560" behindDoc="0" locked="0" layoutInCell="1" allowOverlap="1">
                      <wp:simplePos x="0" y="0"/>
                      <wp:positionH relativeFrom="column">
                        <wp:posOffset>4132580</wp:posOffset>
                      </wp:positionH>
                      <wp:positionV relativeFrom="paragraph">
                        <wp:posOffset>307340</wp:posOffset>
                      </wp:positionV>
                      <wp:extent cx="723900" cy="424815"/>
                      <wp:effectExtent l="4445" t="4445" r="14605" b="8890"/>
                      <wp:wrapNone/>
                      <wp:docPr id="45" name="矩形 49"/>
                      <wp:cNvGraphicFramePr/>
                      <a:graphic xmlns:a="http://schemas.openxmlformats.org/drawingml/2006/main">
                        <a:graphicData uri="http://schemas.microsoft.com/office/word/2010/wordprocessingShape">
                          <wps:wsp>
                            <wps:cNvSpPr/>
                            <wps:spPr>
                              <a:xfrm>
                                <a:off x="0" y="0"/>
                                <a:ext cx="723900" cy="4248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BEED42">
                                  <w:pPr>
                                    <w:ind w:left="-105" w:leftChars="-50" w:right="-105" w:rightChars="-50"/>
                                    <w:jc w:val="center"/>
                                    <w:rPr>
                                      <w:rFonts w:ascii="宋体" w:hAnsi="宋体"/>
                                      <w:color w:val="000000"/>
                                    </w:rPr>
                                  </w:pPr>
                                  <w:r>
                                    <w:rPr>
                                      <w:rFonts w:hint="eastAsia" w:ascii="宋体" w:hAnsi="宋体"/>
                                      <w:color w:val="000000"/>
                                      <w:lang w:val="en-US" w:eastAsia="zh-CN"/>
                                    </w:rPr>
                                    <w:t>场镇</w:t>
                                  </w:r>
                                  <w:r>
                                    <w:rPr>
                                      <w:rFonts w:hint="eastAsia" w:ascii="宋体" w:hAnsi="宋体"/>
                                      <w:color w:val="000000"/>
                                    </w:rPr>
                                    <w:t>污水管网</w:t>
                                  </w:r>
                                </w:p>
                              </w:txbxContent>
                            </wps:txbx>
                            <wps:bodyPr upright="1"/>
                          </wps:wsp>
                        </a:graphicData>
                      </a:graphic>
                    </wp:anchor>
                  </w:drawing>
                </mc:Choice>
                <mc:Fallback>
                  <w:pict>
                    <v:rect id="矩形 49" o:spid="_x0000_s1026" o:spt="1" style="position:absolute;left:0pt;margin-left:325.4pt;margin-top:24.2pt;height:33.45pt;width:57pt;z-index:251714560;mso-width-relative:page;mso-height-relative:page;" fillcolor="#FFFFFF" filled="t" stroked="t" coordsize="21600,21600" o:gfxdata="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KCIMXYAAAACgEAAA8AAAAAAAAAAQAgAAAAIgAAAGRycy9k&#10;b3ducmV2LnhtbFBLAQIUABQAAAAIAIdO4kDxqIqoAgIAACoEAAAOAAAAAAAAAAEAIAAAACcBAABk&#10;cnMvZTJvRG9jLnhtbFBLBQYAAAAABgAGAFkBAACbBQAAAAA=&#10;">
                      <v:fill on="t" focussize="0,0"/>
                      <v:stroke color="#000000" joinstyle="miter"/>
                      <v:imagedata o:title=""/>
                      <o:lock v:ext="edit" aspectratio="f"/>
                      <v:textbox>
                        <w:txbxContent>
                          <w:p w14:paraId="41BEED42">
                            <w:pPr>
                              <w:ind w:left="-105" w:leftChars="-50" w:right="-105" w:rightChars="-50"/>
                              <w:jc w:val="center"/>
                              <w:rPr>
                                <w:rFonts w:ascii="宋体" w:hAnsi="宋体"/>
                                <w:color w:val="000000"/>
                              </w:rPr>
                            </w:pPr>
                            <w:r>
                              <w:rPr>
                                <w:rFonts w:hint="eastAsia" w:ascii="宋体" w:hAnsi="宋体"/>
                                <w:color w:val="000000"/>
                                <w:lang w:val="en-US" w:eastAsia="zh-CN"/>
                              </w:rPr>
                              <w:t>场镇</w:t>
                            </w:r>
                            <w:r>
                              <w:rPr>
                                <w:rFonts w:hint="eastAsia" w:ascii="宋体" w:hAnsi="宋体"/>
                                <w:color w:val="000000"/>
                              </w:rPr>
                              <w:t>污水管网</w:t>
                            </w:r>
                          </w:p>
                        </w:txbxContent>
                      </v:textbox>
                    </v:rect>
                  </w:pict>
                </mc:Fallback>
              </mc:AlternateContent>
            </w:r>
            <w:r>
              <w:rPr>
                <w:rFonts w:hint="default"/>
                <w:color w:val="auto"/>
                <w:sz w:val="28"/>
                <w:szCs w:val="28"/>
              </w:rPr>
              <mc:AlternateContent>
                <mc:Choice Requires="wps">
                  <w:drawing>
                    <wp:anchor distT="0" distB="0" distL="114300" distR="114300" simplePos="0" relativeHeight="251668480" behindDoc="0" locked="0" layoutInCell="1" allowOverlap="1">
                      <wp:simplePos x="0" y="0"/>
                      <wp:positionH relativeFrom="column">
                        <wp:posOffset>4556125</wp:posOffset>
                      </wp:positionH>
                      <wp:positionV relativeFrom="paragraph">
                        <wp:posOffset>50165</wp:posOffset>
                      </wp:positionV>
                      <wp:extent cx="0" cy="276225"/>
                      <wp:effectExtent l="76200" t="0" r="76200" b="47625"/>
                      <wp:wrapNone/>
                      <wp:docPr id="13" name="直接连接符 13"/>
                      <wp:cNvGraphicFramePr/>
                      <a:graphic xmlns:a="http://schemas.openxmlformats.org/drawingml/2006/main">
                        <a:graphicData uri="http://schemas.microsoft.com/office/word/2010/wordprocessingShape">
                          <wps:wsp>
                            <wps:cNvCnPr/>
                            <wps:spPr>
                              <a:xfrm>
                                <a:off x="0" y="0"/>
                                <a:ext cx="0" cy="276225"/>
                              </a:xfrm>
                              <a:prstGeom prst="line">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58.75pt;margin-top:3.95pt;height:21.75pt;width:0pt;z-index:251668480;mso-width-relative:page;mso-height-relative:page;" filled="f" stroked="t" coordsize="21600,21600" o:gfxdata="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wuZq7YAAAACAEAAA8AAAAAAAAAAQAgAAAAIgAAAGRycy9kb3ducmV2&#10;LnhtbFBLAQIUABQAAAAIAIdO4kBIN7By/AEAAPMDAAAOAAAAAAAAAAEAIAAAACcBAABkcnMvZTJv&#10;RG9jLnhtbFBLBQYAAAAABgAGAFkBAACVBQAAAAA=&#10;">
                      <v:fill on="f" focussize="0,0"/>
                      <v:stroke color="#000000 [3204]" joinstyle="round" endarrow="block"/>
                      <v:imagedata o:title=""/>
                      <o:lock v:ext="edit" aspectratio="f"/>
                    </v:line>
                  </w:pict>
                </mc:Fallback>
              </mc:AlternateContent>
            </w:r>
          </w:p>
          <w:p w14:paraId="68989F71">
            <w:pPr>
              <w:keepNext w:val="0"/>
              <w:keepLines w:val="0"/>
              <w:suppressLineNumbers w:val="0"/>
              <w:tabs>
                <w:tab w:val="left" w:pos="2553"/>
              </w:tabs>
              <w:spacing w:before="0" w:beforeAutospacing="0" w:after="0" w:afterAutospacing="0" w:line="560" w:lineRule="exact"/>
              <w:ind w:left="0" w:right="0" w:firstLine="420" w:firstLineChars="200"/>
              <w:rPr>
                <w:rFonts w:hint="default"/>
                <w:color w:val="auto"/>
                <w:sz w:val="28"/>
                <w:szCs w:val="28"/>
              </w:rPr>
            </w:pPr>
            <w:r>
              <w:rPr>
                <w:rFonts w:hint="default"/>
                <w:color w:val="auto"/>
                <w:sz w:val="21"/>
              </w:rPr>
              <mc:AlternateContent>
                <mc:Choice Requires="wps">
                  <w:drawing>
                    <wp:anchor distT="0" distB="0" distL="114300" distR="114300" simplePos="0" relativeHeight="251726848" behindDoc="0" locked="0" layoutInCell="1" allowOverlap="1">
                      <wp:simplePos x="0" y="0"/>
                      <wp:positionH relativeFrom="column">
                        <wp:posOffset>3108960</wp:posOffset>
                      </wp:positionH>
                      <wp:positionV relativeFrom="paragraph">
                        <wp:posOffset>221615</wp:posOffset>
                      </wp:positionV>
                      <wp:extent cx="471170" cy="635"/>
                      <wp:effectExtent l="0" t="38100" r="5080" b="37465"/>
                      <wp:wrapNone/>
                      <wp:docPr id="137" name="直线 51"/>
                      <wp:cNvGraphicFramePr/>
                      <a:graphic xmlns:a="http://schemas.openxmlformats.org/drawingml/2006/main">
                        <a:graphicData uri="http://schemas.microsoft.com/office/word/2010/wordprocessingShape">
                          <wps:wsp>
                            <wps:cNvCnPr/>
                            <wps:spPr>
                              <a:xfrm flipV="1">
                                <a:off x="0" y="0"/>
                                <a:ext cx="47117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1" o:spid="_x0000_s1026" o:spt="20" style="position:absolute;left:0pt;flip:y;margin-left:244.8pt;margin-top:17.45pt;height:0.05pt;width:37.1pt;z-index:251726848;mso-width-relative:page;mso-height-relative:page;" filled="f" stroked="t" coordsize="21600,21600" o:gfxdata="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mxIkfZAAAACQEAAA8AAAAAAAAAAQAgAAAAIgAAAGRycy9kb3ducmV2Lnht&#10;bFBLAQIUABQAAAAIAIdO4kBZmI8d+AEAAO0DAAAOAAAAAAAAAAEAIAAAACgBAABkcnMvZTJvRG9j&#10;LnhtbFBLBQYAAAAABgAGAFkBAACSBQAAAAA=&#10;">
                      <v:fill on="f" focussize="0,0"/>
                      <v:stroke color="#000000" joinstyle="round" endarrow="block"/>
                      <v:imagedata o:title=""/>
                      <o:lock v:ext="edit" aspectratio="f"/>
                    </v:line>
                  </w:pict>
                </mc:Fallback>
              </mc:AlternateContent>
            </w:r>
            <w:r>
              <w:rPr>
                <w:rFonts w:hint="default" w:eastAsia="黑体" w:cs="宋体"/>
                <w:color w:val="auto"/>
                <w:kern w:val="0"/>
                <w:szCs w:val="21"/>
              </w:rPr>
              <mc:AlternateContent>
                <mc:Choice Requires="wps">
                  <w:drawing>
                    <wp:anchor distT="0" distB="0" distL="114300" distR="114300" simplePos="0" relativeHeight="251724800" behindDoc="0" locked="0" layoutInCell="1" allowOverlap="1">
                      <wp:simplePos x="0" y="0"/>
                      <wp:positionH relativeFrom="column">
                        <wp:posOffset>2613660</wp:posOffset>
                      </wp:positionH>
                      <wp:positionV relativeFrom="paragraph">
                        <wp:posOffset>81915</wp:posOffset>
                      </wp:positionV>
                      <wp:extent cx="494665" cy="241300"/>
                      <wp:effectExtent l="5080" t="5080" r="14605" b="20320"/>
                      <wp:wrapNone/>
                      <wp:docPr id="135" name="矩形 48"/>
                      <wp:cNvGraphicFramePr/>
                      <a:graphic xmlns:a="http://schemas.openxmlformats.org/drawingml/2006/main">
                        <a:graphicData uri="http://schemas.microsoft.com/office/word/2010/wordprocessingShape">
                          <wps:wsp>
                            <wps:cNvSpPr/>
                            <wps:spPr>
                              <a:xfrm>
                                <a:off x="0" y="0"/>
                                <a:ext cx="494665" cy="2413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8C375F">
                                  <w:pPr>
                                    <w:ind w:left="-105" w:leftChars="-50" w:right="-105" w:rightChars="-50"/>
                                    <w:jc w:val="center"/>
                                    <w:rPr>
                                      <w:rFonts w:hint="eastAsia" w:ascii="宋体" w:hAnsi="宋体" w:eastAsia="宋体"/>
                                      <w:color w:val="000000"/>
                                      <w:lang w:val="en-US" w:eastAsia="zh-CN"/>
                                    </w:rPr>
                                  </w:pPr>
                                  <w:r>
                                    <w:rPr>
                                      <w:rFonts w:hint="eastAsia" w:ascii="宋体" w:hAnsi="宋体"/>
                                      <w:color w:val="000000"/>
                                      <w:lang w:val="en-US" w:eastAsia="zh-CN"/>
                                    </w:rPr>
                                    <w:t>预消毒</w:t>
                                  </w:r>
                                </w:p>
                              </w:txbxContent>
                            </wps:txbx>
                            <wps:bodyPr upright="1"/>
                          </wps:wsp>
                        </a:graphicData>
                      </a:graphic>
                    </wp:anchor>
                  </w:drawing>
                </mc:Choice>
                <mc:Fallback>
                  <w:pict>
                    <v:rect id="矩形 48" o:spid="_x0000_s1026" o:spt="1" style="position:absolute;left:0pt;margin-left:205.8pt;margin-top:6.45pt;height:19pt;width:38.95pt;z-index:251724800;mso-width-relative:page;mso-height-relative:page;" fillcolor="#FFFFFF" filled="t" stroked="t" coordsize="21600,21600" o:gfxdata="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n2P53YAAAACQEAAA8AAAAAAAAAAQAgAAAAIgAAAGRy&#10;cy9kb3ducmV2LnhtbFBLAQIUABQAAAAIAIdO4kDIiIfDBQIAACsEAAAOAAAAAAAAAAEAIAAAACcB&#10;AABkcnMvZTJvRG9jLnhtbFBLBQYAAAAABgAGAFkBAACeBQAAAAA=&#10;">
                      <v:fill on="t" focussize="0,0"/>
                      <v:stroke color="#000000" joinstyle="miter"/>
                      <v:imagedata o:title=""/>
                      <o:lock v:ext="edit" aspectratio="f"/>
                      <v:textbox>
                        <w:txbxContent>
                          <w:p w14:paraId="2B8C375F">
                            <w:pPr>
                              <w:ind w:left="-105" w:leftChars="-50" w:right="-105" w:rightChars="-50"/>
                              <w:jc w:val="center"/>
                              <w:rPr>
                                <w:rFonts w:hint="eastAsia" w:ascii="宋体" w:hAnsi="宋体" w:eastAsia="宋体"/>
                                <w:color w:val="000000"/>
                                <w:lang w:val="en-US" w:eastAsia="zh-CN"/>
                              </w:rPr>
                            </w:pPr>
                            <w:r>
                              <w:rPr>
                                <w:rFonts w:hint="eastAsia" w:ascii="宋体" w:hAnsi="宋体"/>
                                <w:color w:val="000000"/>
                                <w:lang w:val="en-US" w:eastAsia="zh-CN"/>
                              </w:rPr>
                              <w:t>预消毒</w:t>
                            </w:r>
                          </w:p>
                        </w:txbxContent>
                      </v:textbox>
                    </v:rect>
                  </w:pict>
                </mc:Fallback>
              </mc:AlternateContent>
            </w:r>
            <w:r>
              <w:rPr>
                <w:rFonts w:hint="default"/>
                <w:color w:val="auto"/>
                <w:sz w:val="28"/>
                <w:szCs w:val="28"/>
              </w:rPr>
              <mc:AlternateContent>
                <mc:Choice Requires="wps">
                  <w:drawing>
                    <wp:anchor distT="0" distB="0" distL="114300" distR="114300" simplePos="0" relativeHeight="251720704" behindDoc="0" locked="0" layoutInCell="1" allowOverlap="1">
                      <wp:simplePos x="0" y="0"/>
                      <wp:positionH relativeFrom="column">
                        <wp:posOffset>2230755</wp:posOffset>
                      </wp:positionH>
                      <wp:positionV relativeFrom="paragraph">
                        <wp:posOffset>223520</wp:posOffset>
                      </wp:positionV>
                      <wp:extent cx="635" cy="350520"/>
                      <wp:effectExtent l="4445" t="0" r="13970" b="11430"/>
                      <wp:wrapNone/>
                      <wp:docPr id="130" name="直接连接符 130"/>
                      <wp:cNvGraphicFramePr/>
                      <a:graphic xmlns:a="http://schemas.openxmlformats.org/drawingml/2006/main">
                        <a:graphicData uri="http://schemas.microsoft.com/office/word/2010/wordprocessingShape">
                          <wps:wsp>
                            <wps:cNvCnPr/>
                            <wps:spPr>
                              <a:xfrm>
                                <a:off x="0" y="0"/>
                                <a:ext cx="635" cy="350520"/>
                              </a:xfrm>
                              <a:prstGeom prst="line">
                                <a:avLst/>
                              </a:prstGeom>
                              <a:ln>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75.65pt;margin-top:17.6pt;height:27.6pt;width:0.05pt;z-index:251720704;mso-width-relative:page;mso-height-relative:page;" filled="f" stroked="t" coordsize="21600,21600" o:gfxdata="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t5c2bWAAAACQEAAA8AAAAAAAAA&#10;AQAgAAAAIgAAAGRycy9kb3ducmV2LnhtbFBLAQIUABQAAAAIAIdO4kDCH5he2gEAAJ8DAAAOAAAA&#10;AAAAAAEAIAAAACUBAABkcnMvZTJvRG9jLnhtbFBLBQYAAAAABgAGAFkBAABxBQAAAAA=&#10;">
                      <v:fill on="f" focussize="0,0"/>
                      <v:stroke color="#000000 [3204]" joinstyle="round"/>
                      <v:imagedata o:title=""/>
                      <o:lock v:ext="edit" aspectratio="f"/>
                    </v:line>
                  </w:pict>
                </mc:Fallback>
              </mc:AlternateContent>
            </w:r>
            <w:r>
              <w:rPr>
                <w:rFonts w:hint="default" w:eastAsia="黑体" w:cs="宋体"/>
                <w:color w:val="auto"/>
                <w:kern w:val="0"/>
                <w:szCs w:val="21"/>
              </w:rPr>
              <w:pict>
                <v:shape id="_x0000_s1069" o:spid="_x0000_s1069" o:spt="202" type="#_x0000_t202" style="position:absolute;left:0pt;margin-left:1.65pt;margin-top:20.45pt;height:30.85pt;width:49.4pt;z-index:251684864;mso-width-relative:page;mso-height-relative:page;" filled="f" stroked="f" coordsize="21600,21600">
                  <v:path/>
                  <v:fill on="f" focussize="0,0"/>
                  <v:stroke on="f" joinstyle="miter"/>
                  <v:imagedata o:title=""/>
                  <o:lock v:ext="edit"/>
                  <v:textbox inset="0mm,0mm,0mm,0mm">
                    <w:txbxContent>
                      <w:p w14:paraId="7585E4DA">
                        <w:pPr>
                          <w:jc w:val="center"/>
                          <w:rPr>
                            <w:sz w:val="20"/>
                            <w:szCs w:val="16"/>
                          </w:rPr>
                        </w:pPr>
                        <w:r>
                          <w:rPr>
                            <w:rFonts w:hint="eastAsia"/>
                            <w:sz w:val="20"/>
                            <w:szCs w:val="16"/>
                          </w:rPr>
                          <w:t>城市</w:t>
                        </w:r>
                      </w:p>
                      <w:p w14:paraId="16195FF5">
                        <w:pPr>
                          <w:jc w:val="center"/>
                          <w:rPr>
                            <w:sz w:val="20"/>
                            <w:szCs w:val="16"/>
                          </w:rPr>
                        </w:pPr>
                        <w:r>
                          <w:rPr>
                            <w:rFonts w:hint="eastAsia"/>
                            <w:sz w:val="20"/>
                            <w:szCs w:val="16"/>
                          </w:rPr>
                          <w:t>自来水</w:t>
                        </w:r>
                      </w:p>
                    </w:txbxContent>
                  </v:textbox>
                </v:shape>
              </w:pict>
            </w:r>
            <w:r>
              <w:rPr>
                <w:rFonts w:hint="default" w:eastAsia="黑体" w:cs="宋体"/>
                <w:color w:val="auto"/>
                <w:kern w:val="0"/>
                <w:szCs w:val="21"/>
              </w:rPr>
              <w:pict>
                <v:shape id="_x0000_s1068" o:spid="_x0000_s1068" o:spt="202" type="#_x0000_t202" style="position:absolute;left:0pt;margin-left:9pt;margin-top:6.15pt;height:19.2pt;width:33.1pt;z-index:251683840;mso-width-relative:page;mso-height-relative:page;" filled="f" stroked="f" coordsize="21600,21600">
                  <v:path/>
                  <v:fill on="f" focussize="0,0"/>
                  <v:stroke on="f"/>
                  <v:imagedata o:title=""/>
                  <o:lock v:ext="edit" aspectratio="f"/>
                  <v:textbox inset="0mm,0mm,0mm,0mm">
                    <w:txbxContent>
                      <w:p w14:paraId="3FF3F8E8">
                        <w:pPr>
                          <w:jc w:val="center"/>
                          <w:rPr>
                            <w:szCs w:val="18"/>
                          </w:rPr>
                        </w:pPr>
                        <w:r>
                          <w:rPr>
                            <w:rFonts w:hint="eastAsia"/>
                            <w:szCs w:val="18"/>
                            <w:lang w:val="en-US" w:eastAsia="zh-CN"/>
                          </w:rPr>
                          <w:t>40</w:t>
                        </w:r>
                        <w:r>
                          <w:rPr>
                            <w:rFonts w:hint="eastAsia"/>
                            <w:szCs w:val="18"/>
                          </w:rPr>
                          <w:t>.92</w:t>
                        </w:r>
                      </w:p>
                    </w:txbxContent>
                  </v:textbox>
                </v:shape>
              </w:pict>
            </w:r>
            <w:r>
              <w:rPr>
                <w:rFonts w:hint="default"/>
                <w:color w:val="auto"/>
                <w:sz w:val="21"/>
              </w:rPr>
              <mc:AlternateContent>
                <mc:Choice Requires="wps">
                  <w:drawing>
                    <wp:anchor distT="0" distB="0" distL="114300" distR="114300" simplePos="0" relativeHeight="251715584" behindDoc="0" locked="0" layoutInCell="1" allowOverlap="1">
                      <wp:simplePos x="0" y="0"/>
                      <wp:positionH relativeFrom="column">
                        <wp:posOffset>683895</wp:posOffset>
                      </wp:positionH>
                      <wp:positionV relativeFrom="paragraph">
                        <wp:posOffset>257175</wp:posOffset>
                      </wp:positionV>
                      <wp:extent cx="331470" cy="199390"/>
                      <wp:effectExtent l="0" t="0" r="0" b="0"/>
                      <wp:wrapNone/>
                      <wp:docPr id="49" name="文本框 52"/>
                      <wp:cNvGraphicFramePr/>
                      <a:graphic xmlns:a="http://schemas.openxmlformats.org/drawingml/2006/main">
                        <a:graphicData uri="http://schemas.microsoft.com/office/word/2010/wordprocessingShape">
                          <wps:wsp>
                            <wps:cNvSpPr txBox="1"/>
                            <wps:spPr>
                              <a:xfrm>
                                <a:off x="2312670" y="5579745"/>
                                <a:ext cx="331470" cy="199390"/>
                              </a:xfrm>
                              <a:prstGeom prst="rect">
                                <a:avLst/>
                              </a:prstGeom>
                              <a:noFill/>
                              <a:ln>
                                <a:noFill/>
                              </a:ln>
                            </wps:spPr>
                            <wps:txbx>
                              <w:txbxContent>
                                <w:p w14:paraId="31073753">
                                  <w:pPr>
                                    <w:rPr>
                                      <w:rFonts w:hint="default" w:eastAsia="宋体"/>
                                      <w:szCs w:val="18"/>
                                      <w:lang w:val="en-US" w:eastAsia="zh-CN"/>
                                    </w:rPr>
                                  </w:pPr>
                                  <w:r>
                                    <w:rPr>
                                      <w:rFonts w:hint="eastAsia"/>
                                      <w:szCs w:val="18"/>
                                      <w:lang w:val="en-US" w:eastAsia="zh-CN"/>
                                    </w:rPr>
                                    <w:t>5.796</w:t>
                                  </w:r>
                                </w:p>
                              </w:txbxContent>
                            </wps:txbx>
                            <wps:bodyPr lIns="0" tIns="0" rIns="0" bIns="0" upright="1"/>
                          </wps:wsp>
                        </a:graphicData>
                      </a:graphic>
                    </wp:anchor>
                  </w:drawing>
                </mc:Choice>
                <mc:Fallback>
                  <w:pict>
                    <v:shape id="文本框 52" o:spid="_x0000_s1026" o:spt="202" type="#_x0000_t202" style="position:absolute;left:0pt;margin-left:53.85pt;margin-top:20.25pt;height:15.7pt;width:26.1pt;z-index:251715584;mso-width-relative:page;mso-height-relative:page;" filled="f" stroked="f" coordsize="21600,21600" o:gfxdata="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kRCYv9gAAAAJAQAADwAAAAAAAAABACAAAAAiAAAAZHJzL2Rv&#10;d25yZXYueG1sUEsBAhQAFAAAAAgAh07iQL8JZULIAQAAfwMAAA4AAAAAAAAAAQAgAAAAJwEAAGRy&#10;cy9lMm9Eb2MueG1sUEsFBgAAAAAGAAYAWQEAAGEFAAAAAA==&#10;">
                      <v:fill on="f" focussize="0,0"/>
                      <v:stroke on="f"/>
                      <v:imagedata o:title=""/>
                      <o:lock v:ext="edit" aspectratio="f"/>
                      <v:textbox inset="0mm,0mm,0mm,0mm">
                        <w:txbxContent>
                          <w:p w14:paraId="31073753">
                            <w:pPr>
                              <w:rPr>
                                <w:rFonts w:hint="default" w:eastAsia="宋体"/>
                                <w:szCs w:val="18"/>
                                <w:lang w:val="en-US" w:eastAsia="zh-CN"/>
                              </w:rPr>
                            </w:pPr>
                            <w:r>
                              <w:rPr>
                                <w:rFonts w:hint="eastAsia"/>
                                <w:szCs w:val="18"/>
                                <w:lang w:val="en-US" w:eastAsia="zh-CN"/>
                              </w:rPr>
                              <w:t>5.796</w:t>
                            </w:r>
                          </w:p>
                        </w:txbxContent>
                      </v:textbox>
                    </v:shape>
                  </w:pict>
                </mc:Fallback>
              </mc:AlternateContent>
            </w:r>
            <w:r>
              <w:rPr>
                <w:rFonts w:hint="eastAsia" w:eastAsia="黑体" w:cs="宋体"/>
                <w:color w:val="auto"/>
                <w:kern w:val="0"/>
                <w:szCs w:val="21"/>
              </w:rPr>
              <mc:AlternateContent>
                <mc:Choice Requires="wps">
                  <w:drawing>
                    <wp:anchor distT="0" distB="0" distL="114300" distR="114300" simplePos="0" relativeHeight="251665408" behindDoc="0" locked="0" layoutInCell="1" allowOverlap="1">
                      <wp:simplePos x="0" y="0"/>
                      <wp:positionH relativeFrom="column">
                        <wp:posOffset>121920</wp:posOffset>
                      </wp:positionH>
                      <wp:positionV relativeFrom="paragraph">
                        <wp:posOffset>255905</wp:posOffset>
                      </wp:positionV>
                      <wp:extent cx="466725" cy="0"/>
                      <wp:effectExtent l="0" t="76200" r="28575" b="9525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line">
                                <a:avLst/>
                              </a:prstGeom>
                              <a:noFill/>
                              <a:ln w="12700">
                                <a:solidFill>
                                  <a:srgbClr val="000000"/>
                                </a:solidFill>
                                <a:round/>
                                <a:tailEnd type="triangle" w="med" len="med"/>
                              </a:ln>
                              <a:effectLst/>
                            </wps:spPr>
                            <wps:bodyPr/>
                          </wps:wsp>
                        </a:graphicData>
                      </a:graphic>
                    </wp:anchor>
                  </w:drawing>
                </mc:Choice>
                <mc:Fallback>
                  <w:pict>
                    <v:line id="_x0000_s1026" o:spid="_x0000_s1026" o:spt="20" style="position:absolute;left:0pt;margin-left:9.6pt;margin-top:20.15pt;height:0pt;width:36.75pt;z-index:251665408;mso-width-relative:page;mso-height-relative:page;" filled="f" stroked="t" coordsize="21600,21600" o:gfxdata="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FR9SfUAAAABwEAAA8AAAAAAAAAAQAgAAAAIgAAAGRycy9kb3du&#10;cmV2LnhtbFBLAQIUABQAAAAIAIdO4kB2z5+tAwIAAOYDAAAOAAAAAAAAAAEAIAAAACMBAABkcnMv&#10;ZTJvRG9jLnhtbFBLBQYAAAAABgAGAFkBAACYBQAAAAA=&#10;">
                      <v:fill on="f" focussize="0,0"/>
                      <v:stroke weight="1pt" color="#000000" joinstyle="round" endarrow="block"/>
                      <v:imagedata o:title=""/>
                      <o:lock v:ext="edit" aspectratio="f"/>
                    </v:line>
                  </w:pict>
                </mc:Fallback>
              </mc:AlternateContent>
            </w:r>
            <w:r>
              <w:rPr>
                <w:rFonts w:hint="default"/>
                <w:color w:val="auto"/>
                <w:sz w:val="21"/>
              </w:rPr>
              <mc:AlternateContent>
                <mc:Choice Requires="wps">
                  <w:drawing>
                    <wp:anchor distT="0" distB="0" distL="114300" distR="114300" simplePos="0" relativeHeight="251728896" behindDoc="0" locked="0" layoutInCell="1" allowOverlap="1">
                      <wp:simplePos x="0" y="0"/>
                      <wp:positionH relativeFrom="column">
                        <wp:posOffset>922655</wp:posOffset>
                      </wp:positionH>
                      <wp:positionV relativeFrom="paragraph">
                        <wp:posOffset>32385</wp:posOffset>
                      </wp:positionV>
                      <wp:extent cx="868045" cy="199390"/>
                      <wp:effectExtent l="0" t="0" r="0" b="0"/>
                      <wp:wrapNone/>
                      <wp:docPr id="140" name="文本框 52"/>
                      <wp:cNvGraphicFramePr/>
                      <a:graphic xmlns:a="http://schemas.openxmlformats.org/drawingml/2006/main">
                        <a:graphicData uri="http://schemas.microsoft.com/office/word/2010/wordprocessingShape">
                          <wps:wsp>
                            <wps:cNvSpPr txBox="1"/>
                            <wps:spPr>
                              <a:xfrm>
                                <a:off x="0" y="0"/>
                                <a:ext cx="868045" cy="199390"/>
                              </a:xfrm>
                              <a:prstGeom prst="rect">
                                <a:avLst/>
                              </a:prstGeom>
                              <a:noFill/>
                              <a:ln>
                                <a:noFill/>
                              </a:ln>
                            </wps:spPr>
                            <wps:txbx>
                              <w:txbxContent>
                                <w:p w14:paraId="4E03F9B3">
                                  <w:pPr>
                                    <w:rPr>
                                      <w:rFonts w:hint="default" w:eastAsia="宋体"/>
                                      <w:szCs w:val="18"/>
                                      <w:lang w:val="en-US" w:eastAsia="zh-CN"/>
                                    </w:rPr>
                                  </w:pPr>
                                  <w:r>
                                    <w:rPr>
                                      <w:rFonts w:hint="eastAsia"/>
                                      <w:sz w:val="18"/>
                                      <w:szCs w:val="15"/>
                                      <w:lang w:val="en-US" w:eastAsia="zh-CN"/>
                                    </w:rPr>
                                    <w:t>生理盐水0.84</w:t>
                                  </w:r>
                                </w:p>
                              </w:txbxContent>
                            </wps:txbx>
                            <wps:bodyPr lIns="0" tIns="0" rIns="0" bIns="0" upright="1"/>
                          </wps:wsp>
                        </a:graphicData>
                      </a:graphic>
                    </wp:anchor>
                  </w:drawing>
                </mc:Choice>
                <mc:Fallback>
                  <w:pict>
                    <v:shape id="文本框 52" o:spid="_x0000_s1026" o:spt="202" type="#_x0000_t202" style="position:absolute;left:0pt;margin-left:72.65pt;margin-top:2.55pt;height:15.7pt;width:68.35pt;z-index:251728896;mso-width-relative:page;mso-height-relative:page;" filled="f" stroked="f" coordsize="21600,21600" o:gfxdata="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eze6tcAAAAIAQAADwAAAAAAAAABACAAAAAiAAAAZHJzL2Rvd25yZXYueG1sUEsB&#10;AhQAFAAAAAgAh07iQBIv6ZG9AQAAdAMAAA4AAAAAAAAAAQAgAAAAJgEAAGRycy9lMm9Eb2MueG1s&#10;UEsFBgAAAAAGAAYAWQEAAFUFAAAAAA==&#10;">
                      <v:fill on="f" focussize="0,0"/>
                      <v:stroke on="f"/>
                      <v:imagedata o:title=""/>
                      <o:lock v:ext="edit" aspectratio="f"/>
                      <v:textbox inset="0mm,0mm,0mm,0mm">
                        <w:txbxContent>
                          <w:p w14:paraId="4E03F9B3">
                            <w:pPr>
                              <w:rPr>
                                <w:rFonts w:hint="default" w:eastAsia="宋体"/>
                                <w:szCs w:val="18"/>
                                <w:lang w:val="en-US" w:eastAsia="zh-CN"/>
                              </w:rPr>
                            </w:pPr>
                            <w:r>
                              <w:rPr>
                                <w:rFonts w:hint="eastAsia"/>
                                <w:sz w:val="18"/>
                                <w:szCs w:val="15"/>
                                <w:lang w:val="en-US" w:eastAsia="zh-CN"/>
                              </w:rPr>
                              <w:t>生理盐水0.84</w:t>
                            </w:r>
                          </w:p>
                        </w:txbxContent>
                      </v:textbox>
                    </v:shape>
                  </w:pict>
                </mc:Fallback>
              </mc:AlternateContent>
            </w:r>
            <w:r>
              <w:rPr>
                <w:rFonts w:hint="eastAsia" w:eastAsia="黑体" w:cs="宋体"/>
                <w:color w:val="auto"/>
                <w:kern w:val="0"/>
                <w:szCs w:val="21"/>
              </w:rPr>
              <mc:AlternateContent>
                <mc:Choice Requires="wps">
                  <w:drawing>
                    <wp:anchor distT="0" distB="0" distL="114300" distR="114300" simplePos="0" relativeHeight="251727872" behindDoc="0" locked="0" layoutInCell="1" allowOverlap="1">
                      <wp:simplePos x="0" y="0"/>
                      <wp:positionH relativeFrom="column">
                        <wp:posOffset>1383665</wp:posOffset>
                      </wp:positionH>
                      <wp:positionV relativeFrom="paragraph">
                        <wp:posOffset>184150</wp:posOffset>
                      </wp:positionV>
                      <wp:extent cx="129540" cy="104775"/>
                      <wp:effectExtent l="3810" t="5080" r="0" b="4445"/>
                      <wp:wrapNone/>
                      <wp:docPr id="138" name="直接连接符 138"/>
                      <wp:cNvGraphicFramePr/>
                      <a:graphic xmlns:a="http://schemas.openxmlformats.org/drawingml/2006/main">
                        <a:graphicData uri="http://schemas.microsoft.com/office/word/2010/wordprocessingShape">
                          <wps:wsp>
                            <wps:cNvCnPr>
                              <a:cxnSpLocks noChangeShapeType="1"/>
                              <a:endCxn id="51" idx="0"/>
                            </wps:cNvCnPr>
                            <wps:spPr bwMode="auto">
                              <a:xfrm>
                                <a:off x="0" y="0"/>
                                <a:ext cx="129540" cy="104775"/>
                              </a:xfrm>
                              <a:prstGeom prst="line">
                                <a:avLst/>
                              </a:prstGeom>
                              <a:noFill/>
                              <a:ln w="12700">
                                <a:solidFill>
                                  <a:srgbClr val="000000"/>
                                </a:solidFill>
                                <a:round/>
                                <a:tailEnd type="triangle" w="med" len="med"/>
                              </a:ln>
                              <a:effectLst/>
                            </wps:spPr>
                            <wps:bodyPr/>
                          </wps:wsp>
                        </a:graphicData>
                      </a:graphic>
                    </wp:anchor>
                  </w:drawing>
                </mc:Choice>
                <mc:Fallback>
                  <w:pict>
                    <v:line id="_x0000_s1026" o:spid="_x0000_s1026" o:spt="20" style="position:absolute;left:0pt;margin-left:108.95pt;margin-top:14.5pt;height:8.25pt;width:10.2pt;z-index:251727872;mso-width-relative:page;mso-height-relative:page;" filled="f" stroked="t" coordsize="21600,21600" o:gfxdata="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oAxG9kAAAAJAQAADwAA&#10;AAAAAAABACAAAAAiAAAAZHJzL2Rvd25yZXYueG1sUEsBAhQAFAAAAAgAh07iQJX/SHkVAgAACgQA&#10;AA4AAAAAAAAAAQAgAAAAKAEAAGRycy9lMm9Eb2MueG1sUEsFBgAAAAAGAAYAWQEAAK8FAAAAAA==&#10;">
                      <v:fill on="f" focussize="0,0"/>
                      <v:stroke weight="1pt" color="#000000" joinstyle="round" endarrow="block"/>
                      <v:imagedata o:title=""/>
                      <o:lock v:ext="edit" aspectratio="f"/>
                    </v:line>
                  </w:pict>
                </mc:Fallback>
              </mc:AlternateContent>
            </w:r>
            <w:r>
              <w:rPr>
                <w:rFonts w:hint="default" w:eastAsia="黑体" w:cs="宋体"/>
                <w:color w:val="auto"/>
                <w:kern w:val="0"/>
                <w:szCs w:val="21"/>
              </w:rPr>
              <mc:AlternateContent>
                <mc:Choice Requires="wps">
                  <w:drawing>
                    <wp:anchor distT="0" distB="0" distL="114300" distR="114300" simplePos="0" relativeHeight="251722752" behindDoc="0" locked="0" layoutInCell="1" allowOverlap="1">
                      <wp:simplePos x="0" y="0"/>
                      <wp:positionH relativeFrom="column">
                        <wp:posOffset>1789430</wp:posOffset>
                      </wp:positionH>
                      <wp:positionV relativeFrom="paragraph">
                        <wp:posOffset>58420</wp:posOffset>
                      </wp:positionV>
                      <wp:extent cx="817245" cy="199390"/>
                      <wp:effectExtent l="0" t="0" r="0" b="0"/>
                      <wp:wrapNone/>
                      <wp:docPr id="132" name="Text Box 2873"/>
                      <wp:cNvGraphicFramePr/>
                      <a:graphic xmlns:a="http://schemas.openxmlformats.org/drawingml/2006/main">
                        <a:graphicData uri="http://schemas.microsoft.com/office/word/2010/wordprocessingShape">
                          <wps:wsp>
                            <wps:cNvSpPr txBox="1"/>
                            <wps:spPr>
                              <a:xfrm>
                                <a:off x="0" y="0"/>
                                <a:ext cx="817245" cy="199390"/>
                              </a:xfrm>
                              <a:prstGeom prst="rect">
                                <a:avLst/>
                              </a:prstGeom>
                              <a:noFill/>
                              <a:ln>
                                <a:noFill/>
                              </a:ln>
                            </wps:spPr>
                            <wps:txbx>
                              <w:txbxContent>
                                <w:p w14:paraId="716F675E">
                                  <w:pPr>
                                    <w:jc w:val="center"/>
                                    <w:rPr>
                                      <w:rFonts w:hint="default" w:eastAsia="宋体"/>
                                      <w:szCs w:val="18"/>
                                      <w:lang w:val="en-US" w:eastAsia="zh-CN"/>
                                    </w:rPr>
                                  </w:pPr>
                                  <w:r>
                                    <w:rPr>
                                      <w:rFonts w:hint="eastAsia"/>
                                      <w:szCs w:val="18"/>
                                      <w:lang w:val="en-US" w:eastAsia="zh-CN"/>
                                    </w:rPr>
                                    <w:t>阳性区1.185</w:t>
                                  </w:r>
                                </w:p>
                              </w:txbxContent>
                            </wps:txbx>
                            <wps:bodyPr lIns="0" tIns="0" rIns="0" bIns="0" upright="1"/>
                          </wps:wsp>
                        </a:graphicData>
                      </a:graphic>
                    </wp:anchor>
                  </w:drawing>
                </mc:Choice>
                <mc:Fallback>
                  <w:pict>
                    <v:shape id="Text Box 2873" o:spid="_x0000_s1026" o:spt="202" type="#_x0000_t202" style="position:absolute;left:0pt;margin-left:140.9pt;margin-top:4.6pt;height:15.7pt;width:64.35pt;z-index:251722752;mso-width-relative:page;mso-height-relative:page;" filled="f" stroked="f" coordsize="21600,21600" o:gfxdata="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ZPIlx&#10;1wAAAAgBAAAPAAAAAAAAAAEAIAAAACIAAABkcnMvZG93bnJldi54bWxQSwECFAAUAAAACACHTuJA&#10;FQONOLABAAB1AwAADgAAAAAAAAABACAAAAAmAQAAZHJzL2Uyb0RvYy54bWxQSwUGAAAAAAYABgBZ&#10;AQAASAUAAAAA&#10;">
                      <v:fill on="f" focussize="0,0"/>
                      <v:stroke on="f"/>
                      <v:imagedata o:title=""/>
                      <o:lock v:ext="edit" aspectratio="f"/>
                      <v:textbox inset="0mm,0mm,0mm,0mm">
                        <w:txbxContent>
                          <w:p w14:paraId="716F675E">
                            <w:pPr>
                              <w:jc w:val="center"/>
                              <w:rPr>
                                <w:rFonts w:hint="default" w:eastAsia="宋体"/>
                                <w:szCs w:val="18"/>
                                <w:lang w:val="en-US" w:eastAsia="zh-CN"/>
                              </w:rPr>
                            </w:pPr>
                            <w:r>
                              <w:rPr>
                                <w:rFonts w:hint="eastAsia"/>
                                <w:szCs w:val="18"/>
                                <w:lang w:val="en-US" w:eastAsia="zh-CN"/>
                              </w:rPr>
                              <w:t>阳性区1.185</w:t>
                            </w:r>
                          </w:p>
                        </w:txbxContent>
                      </v:textbox>
                    </v:shape>
                  </w:pict>
                </mc:Fallback>
              </mc:AlternateContent>
            </w:r>
            <w:r>
              <w:rPr>
                <w:rFonts w:hint="default"/>
                <w:color w:val="auto"/>
                <w:sz w:val="21"/>
              </w:rPr>
              <mc:AlternateContent>
                <mc:Choice Requires="wps">
                  <w:drawing>
                    <wp:anchor distT="0" distB="0" distL="114300" distR="114300" simplePos="0" relativeHeight="251718656" behindDoc="0" locked="0" layoutInCell="1" allowOverlap="1">
                      <wp:simplePos x="0" y="0"/>
                      <wp:positionH relativeFrom="column">
                        <wp:posOffset>2225040</wp:posOffset>
                      </wp:positionH>
                      <wp:positionV relativeFrom="paragraph">
                        <wp:posOffset>230505</wp:posOffset>
                      </wp:positionV>
                      <wp:extent cx="387350" cy="635"/>
                      <wp:effectExtent l="0" t="37465" r="12700" b="38100"/>
                      <wp:wrapNone/>
                      <wp:docPr id="128" name="直线 51"/>
                      <wp:cNvGraphicFramePr/>
                      <a:graphic xmlns:a="http://schemas.openxmlformats.org/drawingml/2006/main">
                        <a:graphicData uri="http://schemas.microsoft.com/office/word/2010/wordprocessingShape">
                          <wps:wsp>
                            <wps:cNvCnPr/>
                            <wps:spPr>
                              <a:xfrm>
                                <a:off x="0" y="0"/>
                                <a:ext cx="38735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1" o:spid="_x0000_s1026" o:spt="20" style="position:absolute;left:0pt;margin-left:175.2pt;margin-top:18.15pt;height:0.05pt;width:30.5pt;z-index:251718656;mso-width-relative:page;mso-height-relative:page;" filled="f" stroked="t" coordsize="21600,21600" o:gfxdata="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qVIsC2QAAAAkBAAAPAAAAAAAAAAEAIAAAACIAAABkcnMvZG93bnJldi54bWxQSwECFAAU&#10;AAAACACHTuJANTVaQfABAADjAwAADgAAAAAAAAABACAAAAAoAQAAZHJzL2Uyb0RvYy54bWxQSwUG&#10;AAAAAAYABgBZAQAAigUAAAAA&#10;">
                      <v:fill on="f" focussize="0,0"/>
                      <v:stroke color="#000000" joinstyle="round" endarrow="block"/>
                      <v:imagedata o:title=""/>
                      <o:lock v:ext="edit" aspectratio="f"/>
                    </v:line>
                  </w:pict>
                </mc:Fallback>
              </mc:AlternateContent>
            </w:r>
            <w:r>
              <w:rPr>
                <w:rFonts w:hint="default"/>
                <w:color w:val="auto"/>
                <w:sz w:val="21"/>
              </w:rPr>
              <mc:AlternateContent>
                <mc:Choice Requires="wps">
                  <w:drawing>
                    <wp:anchor distT="0" distB="0" distL="114300" distR="114300" simplePos="0" relativeHeight="251716608" behindDoc="0" locked="0" layoutInCell="1" allowOverlap="1">
                      <wp:simplePos x="0" y="0"/>
                      <wp:positionH relativeFrom="column">
                        <wp:posOffset>1082675</wp:posOffset>
                      </wp:positionH>
                      <wp:positionV relativeFrom="paragraph">
                        <wp:posOffset>288925</wp:posOffset>
                      </wp:positionV>
                      <wp:extent cx="860425" cy="273050"/>
                      <wp:effectExtent l="4445" t="4445" r="11430" b="8255"/>
                      <wp:wrapNone/>
                      <wp:docPr id="51" name="矩形 53"/>
                      <wp:cNvGraphicFramePr/>
                      <a:graphic xmlns:a="http://schemas.openxmlformats.org/drawingml/2006/main">
                        <a:graphicData uri="http://schemas.microsoft.com/office/word/2010/wordprocessingShape">
                          <wps:wsp>
                            <wps:cNvSpPr/>
                            <wps:spPr>
                              <a:xfrm>
                                <a:off x="2691765" y="5606415"/>
                                <a:ext cx="860425" cy="273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FE1307">
                                  <w:pPr>
                                    <w:jc w:val="center"/>
                                    <w:rPr>
                                      <w:rFonts w:hint="default" w:ascii="宋体" w:hAnsi="宋体" w:eastAsia="宋体"/>
                                      <w:color w:val="000000"/>
                                      <w:lang w:val="en-US" w:eastAsia="zh-CN"/>
                                    </w:rPr>
                                  </w:pPr>
                                  <w:r>
                                    <w:rPr>
                                      <w:rFonts w:hint="eastAsia" w:ascii="宋体" w:hAnsi="宋体"/>
                                      <w:color w:val="000000"/>
                                      <w:lang w:val="en-US" w:eastAsia="zh-CN"/>
                                    </w:rPr>
                                    <w:t>血透区废水</w:t>
                                  </w:r>
                                </w:p>
                              </w:txbxContent>
                            </wps:txbx>
                            <wps:bodyPr upright="1"/>
                          </wps:wsp>
                        </a:graphicData>
                      </a:graphic>
                    </wp:anchor>
                  </w:drawing>
                </mc:Choice>
                <mc:Fallback>
                  <w:pict>
                    <v:rect id="矩形 53" o:spid="_x0000_s1026" o:spt="1" style="position:absolute;left:0pt;margin-left:85.25pt;margin-top:22.75pt;height:21.5pt;width:67.75pt;z-index:251716608;mso-width-relative:page;mso-height-relative:page;" fillcolor="#FFFFFF" filled="t" stroked="t" coordsize="21600,21600" o:gfxdata="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0JlXu1wAAAAkBAAAPAAAAAAAAAAEA&#10;IAAAACIAAABkcnMvZG93bnJldi54bWxQSwECFAAUAAAACACHTuJAgngflxACAAA2BAAADgAAAAAA&#10;AAABACAAAAAmAQAAZHJzL2Uyb0RvYy54bWxQSwUGAAAAAAYABgBZAQAAqAUAAAAA&#10;">
                      <v:fill on="t" focussize="0,0"/>
                      <v:stroke color="#000000" joinstyle="miter"/>
                      <v:imagedata o:title=""/>
                      <o:lock v:ext="edit" aspectratio="f"/>
                      <v:textbox>
                        <w:txbxContent>
                          <w:p w14:paraId="4FFE1307">
                            <w:pPr>
                              <w:jc w:val="center"/>
                              <w:rPr>
                                <w:rFonts w:hint="default" w:ascii="宋体" w:hAnsi="宋体" w:eastAsia="宋体"/>
                                <w:color w:val="000000"/>
                                <w:lang w:val="en-US" w:eastAsia="zh-CN"/>
                              </w:rPr>
                            </w:pPr>
                            <w:r>
                              <w:rPr>
                                <w:rFonts w:hint="eastAsia" w:ascii="宋体" w:hAnsi="宋体"/>
                                <w:color w:val="000000"/>
                                <w:lang w:val="en-US" w:eastAsia="zh-CN"/>
                              </w:rPr>
                              <w:t>血透区废水</w:t>
                            </w:r>
                          </w:p>
                        </w:txbxContent>
                      </v:textbox>
                    </v:rect>
                  </w:pict>
                </mc:Fallback>
              </mc:AlternateContent>
            </w:r>
          </w:p>
          <w:p w14:paraId="21B3C93D">
            <w:pPr>
              <w:keepNext w:val="0"/>
              <w:keepLines w:val="0"/>
              <w:suppressLineNumbers w:val="0"/>
              <w:tabs>
                <w:tab w:val="left" w:pos="2553"/>
              </w:tabs>
              <w:spacing w:before="0" w:beforeAutospacing="0" w:after="0" w:afterAutospacing="0" w:line="560" w:lineRule="exact"/>
              <w:ind w:left="0" w:right="0" w:firstLine="560" w:firstLineChars="200"/>
              <w:rPr>
                <w:rFonts w:hint="default"/>
                <w:color w:val="auto"/>
                <w:sz w:val="28"/>
                <w:szCs w:val="28"/>
              </w:rPr>
            </w:pPr>
            <w:r>
              <w:rPr>
                <w:rFonts w:hint="default"/>
                <w:color w:val="auto"/>
                <w:sz w:val="28"/>
                <w:szCs w:val="28"/>
              </w:rPr>
              <mc:AlternateContent>
                <mc:Choice Requires="wps">
                  <w:drawing>
                    <wp:anchor distT="0" distB="0" distL="114300" distR="114300" simplePos="0" relativeHeight="251713536" behindDoc="0" locked="0" layoutInCell="1" allowOverlap="1">
                      <wp:simplePos x="0" y="0"/>
                      <wp:positionH relativeFrom="column">
                        <wp:posOffset>4467860</wp:posOffset>
                      </wp:positionH>
                      <wp:positionV relativeFrom="paragraph">
                        <wp:posOffset>36830</wp:posOffset>
                      </wp:positionV>
                      <wp:extent cx="635" cy="326390"/>
                      <wp:effectExtent l="38100" t="0" r="37465" b="16510"/>
                      <wp:wrapNone/>
                      <wp:docPr id="41" name="直接连接符 41"/>
                      <wp:cNvGraphicFramePr/>
                      <a:graphic xmlns:a="http://schemas.openxmlformats.org/drawingml/2006/main">
                        <a:graphicData uri="http://schemas.microsoft.com/office/word/2010/wordprocessingShape">
                          <wps:wsp>
                            <wps:cNvCnPr/>
                            <wps:spPr>
                              <a:xfrm flipH="1">
                                <a:off x="0" y="0"/>
                                <a:ext cx="635" cy="326390"/>
                              </a:xfrm>
                              <a:prstGeom prst="line">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351.8pt;margin-top:2.9pt;height:25.7pt;width:0.05pt;z-index:251713536;mso-width-relative:page;mso-height-relative:page;" filled="f" stroked="t" coordsize="21600,21600" o:gfxdata="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TMTzDWAAAACAEAAA8AAAAAAAAAAQAgAAAAIgAA&#10;AGRycy9kb3ducmV2LnhtbFBLAQIUABQAAAAIAIdO4kA71iBRCgIAAP8DAAAOAAAAAAAAAAEAIAAA&#10;ACUBAABkcnMvZTJvRG9jLnhtbFBLBQYAAAAABgAGAFkBAAChBQAAAAA=&#10;">
                      <v:fill on="f" focussize="0,0"/>
                      <v:stroke color="#000000 [3204]" joinstyle="round" endarrow="block"/>
                      <v:imagedata o:title=""/>
                      <o:lock v:ext="edit" aspectratio="f"/>
                    </v:line>
                  </w:pict>
                </mc:Fallback>
              </mc:AlternateContent>
            </w:r>
            <w:r>
              <w:rPr>
                <w:rFonts w:hint="default"/>
                <w:color w:val="auto"/>
                <w:sz w:val="21"/>
              </w:rPr>
              <mc:AlternateContent>
                <mc:Choice Requires="wps">
                  <w:drawing>
                    <wp:anchor distT="0" distB="0" distL="114300" distR="114300" simplePos="0" relativeHeight="251744256" behindDoc="0" locked="0" layoutInCell="1" allowOverlap="1">
                      <wp:simplePos x="0" y="0"/>
                      <wp:positionH relativeFrom="column">
                        <wp:posOffset>1478280</wp:posOffset>
                      </wp:positionH>
                      <wp:positionV relativeFrom="paragraph">
                        <wp:posOffset>283845</wp:posOffset>
                      </wp:positionV>
                      <wp:extent cx="1297940" cy="199390"/>
                      <wp:effectExtent l="0" t="0" r="0" b="0"/>
                      <wp:wrapNone/>
                      <wp:docPr id="194" name="文本框 52"/>
                      <wp:cNvGraphicFramePr/>
                      <a:graphic xmlns:a="http://schemas.openxmlformats.org/drawingml/2006/main">
                        <a:graphicData uri="http://schemas.microsoft.com/office/word/2010/wordprocessingShape">
                          <wps:wsp>
                            <wps:cNvSpPr txBox="1"/>
                            <wps:spPr>
                              <a:xfrm>
                                <a:off x="0" y="0"/>
                                <a:ext cx="1297940" cy="199390"/>
                              </a:xfrm>
                              <a:prstGeom prst="rect">
                                <a:avLst/>
                              </a:prstGeom>
                              <a:noFill/>
                              <a:ln>
                                <a:noFill/>
                              </a:ln>
                            </wps:spPr>
                            <wps:txbx>
                              <w:txbxContent>
                                <w:p w14:paraId="41403DD3">
                                  <w:pPr>
                                    <w:jc w:val="center"/>
                                    <w:rPr>
                                      <w:rFonts w:hint="default" w:eastAsia="宋体"/>
                                      <w:szCs w:val="18"/>
                                      <w:lang w:val="en-US" w:eastAsia="zh-CN"/>
                                    </w:rPr>
                                  </w:pPr>
                                  <w:r>
                                    <w:rPr>
                                      <w:rFonts w:hint="eastAsia"/>
                                      <w:sz w:val="18"/>
                                      <w:szCs w:val="15"/>
                                      <w:lang w:val="en-US" w:eastAsia="zh-CN"/>
                                    </w:rPr>
                                    <w:t>透析液配比用纯水0.204</w:t>
                                  </w:r>
                                </w:p>
                              </w:txbxContent>
                            </wps:txbx>
                            <wps:bodyPr lIns="0" tIns="0" rIns="0" bIns="0" upright="1"/>
                          </wps:wsp>
                        </a:graphicData>
                      </a:graphic>
                    </wp:anchor>
                  </w:drawing>
                </mc:Choice>
                <mc:Fallback>
                  <w:pict>
                    <v:shape id="文本框 52" o:spid="_x0000_s1026" o:spt="202" type="#_x0000_t202" style="position:absolute;left:0pt;margin-left:116.4pt;margin-top:22.35pt;height:15.7pt;width:102.2pt;z-index:251744256;mso-width-relative:page;mso-height-relative:page;" filled="f" stroked="f" coordsize="21600,21600" o:gfxdata="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euXcrYAAAACQEAAA8AAAAAAAAAAQAgAAAAIgAAAGRycy9kb3ducmV2LnhtbFBL&#10;AQIUABQAAAAIAIdO4kBTCWTpvQEAAHUDAAAOAAAAAAAAAAEAIAAAACcBAABkcnMvZTJvRG9jLnht&#10;bFBLBQYAAAAABgAGAFkBAABWBQAAAAA=&#10;">
                      <v:fill on="f" focussize="0,0"/>
                      <v:stroke on="f"/>
                      <v:imagedata o:title=""/>
                      <o:lock v:ext="edit" aspectratio="f"/>
                      <v:textbox inset="0mm,0mm,0mm,0mm">
                        <w:txbxContent>
                          <w:p w14:paraId="41403DD3">
                            <w:pPr>
                              <w:jc w:val="center"/>
                              <w:rPr>
                                <w:rFonts w:hint="default" w:eastAsia="宋体"/>
                                <w:szCs w:val="18"/>
                                <w:lang w:val="en-US" w:eastAsia="zh-CN"/>
                              </w:rPr>
                            </w:pPr>
                            <w:r>
                              <w:rPr>
                                <w:rFonts w:hint="eastAsia"/>
                                <w:sz w:val="18"/>
                                <w:szCs w:val="15"/>
                                <w:lang w:val="en-US" w:eastAsia="zh-CN"/>
                              </w:rPr>
                              <w:t>透析液配比用纯水0.204</w:t>
                            </w:r>
                          </w:p>
                        </w:txbxContent>
                      </v:textbox>
                    </v:shape>
                  </w:pict>
                </mc:Fallback>
              </mc:AlternateContent>
            </w:r>
            <w:r>
              <w:rPr>
                <w:rFonts w:hint="default"/>
                <w:color w:val="auto"/>
                <w:sz w:val="21"/>
              </w:rPr>
              <mc:AlternateContent>
                <mc:Choice Requires="wps">
                  <w:drawing>
                    <wp:anchor distT="0" distB="0" distL="114300" distR="114300" simplePos="0" relativeHeight="251717632" behindDoc="0" locked="0" layoutInCell="1" allowOverlap="1">
                      <wp:simplePos x="0" y="0"/>
                      <wp:positionH relativeFrom="column">
                        <wp:posOffset>2242820</wp:posOffset>
                      </wp:positionH>
                      <wp:positionV relativeFrom="paragraph">
                        <wp:posOffset>225425</wp:posOffset>
                      </wp:positionV>
                      <wp:extent cx="1348105" cy="635"/>
                      <wp:effectExtent l="0" t="0" r="0" b="0"/>
                      <wp:wrapNone/>
                      <wp:docPr id="105" name="直线 51"/>
                      <wp:cNvGraphicFramePr/>
                      <a:graphic xmlns:a="http://schemas.openxmlformats.org/drawingml/2006/main">
                        <a:graphicData uri="http://schemas.microsoft.com/office/word/2010/wordprocessingShape">
                          <wps:wsp>
                            <wps:cNvCnPr/>
                            <wps:spPr>
                              <a:xfrm flipV="1">
                                <a:off x="0" y="0"/>
                                <a:ext cx="134810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1" o:spid="_x0000_s1026" o:spt="20" style="position:absolute;left:0pt;flip:y;margin-left:176.6pt;margin-top:17.75pt;height:0.05pt;width:106.15pt;z-index:251717632;mso-width-relative:page;mso-height-relative:page;" filled="f" stroked="t" coordsize="21600,21600" o:gfxdata="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fkGmK1QAAAAkBAAAPAAAAAAAAAAEAIAAAACIAAABkcnMvZG93bnJldi54bWxQSwECFAAUAAAA&#10;CACHTuJAj8dvvPEBAADqAwAADgAAAAAAAAABACAAAAAkAQAAZHJzL2Uyb0RvYy54bWxQSwUGAAAA&#10;AAYABgBZAQAAhwUAAAAA&#10;">
                      <v:fill on="f" focussize="0,0"/>
                      <v:stroke color="#000000" joinstyle="round"/>
                      <v:imagedata o:title=""/>
                      <o:lock v:ext="edit" aspectratio="f"/>
                    </v:line>
                  </w:pict>
                </mc:Fallback>
              </mc:AlternateContent>
            </w:r>
            <w:r>
              <w:rPr>
                <w:rFonts w:hint="default"/>
                <w:color w:val="auto"/>
                <w:sz w:val="21"/>
              </w:rPr>
              <mc:AlternateContent>
                <mc:Choice Requires="wps">
                  <w:drawing>
                    <wp:anchor distT="0" distB="0" distL="114300" distR="114300" simplePos="0" relativeHeight="251719680" behindDoc="0" locked="0" layoutInCell="1" allowOverlap="1">
                      <wp:simplePos x="0" y="0"/>
                      <wp:positionH relativeFrom="column">
                        <wp:posOffset>1960880</wp:posOffset>
                      </wp:positionH>
                      <wp:positionV relativeFrom="paragraph">
                        <wp:posOffset>52705</wp:posOffset>
                      </wp:positionV>
                      <wp:extent cx="269875" cy="1270"/>
                      <wp:effectExtent l="0" t="37465" r="15875" b="37465"/>
                      <wp:wrapNone/>
                      <wp:docPr id="129" name="直线 51"/>
                      <wp:cNvGraphicFramePr/>
                      <a:graphic xmlns:a="http://schemas.openxmlformats.org/drawingml/2006/main">
                        <a:graphicData uri="http://schemas.microsoft.com/office/word/2010/wordprocessingShape">
                          <wps:wsp>
                            <wps:cNvCnPr/>
                            <wps:spPr>
                              <a:xfrm>
                                <a:off x="0" y="0"/>
                                <a:ext cx="269875" cy="12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1" o:spid="_x0000_s1026" o:spt="20" style="position:absolute;left:0pt;margin-left:154.4pt;margin-top:4.15pt;height:0.1pt;width:21.25pt;z-index:251719680;mso-width-relative:page;mso-height-relative:page;" filled="f" stroked="t" coordsize="21600,21600" o:gfxdata="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EnSo1gAAAAcBAAAPAAAAAAAAAAEAIAAAACIAAABkcnMvZG93bnJldi54bWxQSwECFAAU&#10;AAAACACHTuJAN0e3l/MBAADkAwAADgAAAAAAAAABACAAAAAlAQAAZHJzL2Uyb0RvYy54bWxQSwUG&#10;AAAAAAYABgBZAQAAigUAAAAA&#10;">
                      <v:fill on="f" focussize="0,0"/>
                      <v:stroke color="#000000" joinstyle="round" endarrow="block"/>
                      <v:imagedata o:title=""/>
                      <o:lock v:ext="edit" aspectratio="f"/>
                    </v:line>
                  </w:pict>
                </mc:Fallback>
              </mc:AlternateContent>
            </w:r>
            <w:r>
              <w:rPr>
                <w:rFonts w:hint="default"/>
                <w:color w:val="auto"/>
                <w:sz w:val="28"/>
                <w:szCs w:val="28"/>
              </w:rPr>
              <mc:AlternateContent>
                <mc:Choice Requires="wps">
                  <w:drawing>
                    <wp:anchor distT="0" distB="0" distL="114300" distR="114300" simplePos="0" relativeHeight="251739136" behindDoc="0" locked="0" layoutInCell="1" allowOverlap="1">
                      <wp:simplePos x="0" y="0"/>
                      <wp:positionH relativeFrom="column">
                        <wp:posOffset>712470</wp:posOffset>
                      </wp:positionH>
                      <wp:positionV relativeFrom="paragraph">
                        <wp:posOffset>53340</wp:posOffset>
                      </wp:positionV>
                      <wp:extent cx="635" cy="431800"/>
                      <wp:effectExtent l="4445" t="0" r="13970" b="6350"/>
                      <wp:wrapNone/>
                      <wp:docPr id="177" name="直接连接符 177"/>
                      <wp:cNvGraphicFramePr/>
                      <a:graphic xmlns:a="http://schemas.openxmlformats.org/drawingml/2006/main">
                        <a:graphicData uri="http://schemas.microsoft.com/office/word/2010/wordprocessingShape">
                          <wps:wsp>
                            <wps:cNvCnPr/>
                            <wps:spPr>
                              <a:xfrm>
                                <a:off x="0" y="0"/>
                                <a:ext cx="635" cy="431800"/>
                              </a:xfrm>
                              <a:prstGeom prst="line">
                                <a:avLst/>
                              </a:prstGeom>
                              <a:ln>
                                <a:solidFill>
                                  <a:srgbClr val="000000"/>
                                </a:solidFill>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6.1pt;margin-top:4.2pt;height:34pt;width:0.05pt;z-index:251739136;mso-width-relative:page;mso-height-relative:page;" filled="f" stroked="t" coordsize="21600,21600" o:gfxdata="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Tts&#10;2dYAAAAIAQAADwAAAAAAAAABACAAAAAiAAAAZHJzL2Rvd25yZXYueG1sUEsBAhQAFAAAAAgAh07i&#10;QGRexcTrAQAAtwMAAA4AAAAAAAAAAQAgAAAAJQEAAGRycy9lMm9Eb2MueG1sUEsFBgAAAAAGAAYA&#10;WQEAAIIFAAAAAA==&#10;">
                      <v:fill on="f" focussize="0,0"/>
                      <v:stroke color="#000000 [3204]" joinstyle="round"/>
                      <v:imagedata o:title=""/>
                      <o:lock v:ext="edit" aspectratio="f"/>
                    </v:line>
                  </w:pict>
                </mc:Fallback>
              </mc:AlternateContent>
            </w:r>
            <w:r>
              <w:rPr>
                <w:rFonts w:hint="default"/>
                <w:color w:val="auto"/>
                <w:sz w:val="21"/>
              </w:rPr>
              <mc:AlternateContent>
                <mc:Choice Requires="wps">
                  <w:drawing>
                    <wp:anchor distT="0" distB="0" distL="114300" distR="114300" simplePos="0" relativeHeight="251738112" behindDoc="0" locked="0" layoutInCell="1" allowOverlap="1">
                      <wp:simplePos x="0" y="0"/>
                      <wp:positionH relativeFrom="column">
                        <wp:posOffset>704850</wp:posOffset>
                      </wp:positionH>
                      <wp:positionV relativeFrom="paragraph">
                        <wp:posOffset>60325</wp:posOffset>
                      </wp:positionV>
                      <wp:extent cx="383540" cy="635"/>
                      <wp:effectExtent l="0" t="38100" r="16510" b="37465"/>
                      <wp:wrapNone/>
                      <wp:docPr id="176" name="直线 51"/>
                      <wp:cNvGraphicFramePr/>
                      <a:graphic xmlns:a="http://schemas.openxmlformats.org/drawingml/2006/main">
                        <a:graphicData uri="http://schemas.microsoft.com/office/word/2010/wordprocessingShape">
                          <wps:wsp>
                            <wps:cNvCnPr/>
                            <wps:spPr>
                              <a:xfrm flipV="1">
                                <a:off x="0" y="0"/>
                                <a:ext cx="38354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1" o:spid="_x0000_s1026" o:spt="20" style="position:absolute;left:0pt;flip:y;margin-left:55.5pt;margin-top:4.75pt;height:0.05pt;width:30.2pt;z-index:251738112;mso-width-relative:page;mso-height-relative:page;" filled="f" stroked="t" coordsize="21600,21600" o:gfxdata="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sT+x9UAAAAHAQAADwAAAAAAAAABACAAAAAiAAAAZHJzL2Rvd25yZXYueG1sUEsB&#10;AhQAFAAAAAgAh07iQIbozQ34AQAA7QMAAA4AAAAAAAAAAQAgAAAAJAEAAGRycy9lMm9Eb2MueG1s&#10;UEsFBgAAAAAGAAYAWQEAAI4FAAAAAA==&#10;">
                      <v:fill on="f" focussize="0,0"/>
                      <v:stroke color="#000000" joinstyle="round" endarrow="block"/>
                      <v:imagedata o:title=""/>
                      <o:lock v:ext="edit" aspectratio="f"/>
                    </v:line>
                  </w:pict>
                </mc:Fallback>
              </mc:AlternateContent>
            </w:r>
            <w:r>
              <w:rPr>
                <w:rFonts w:hint="default"/>
                <w:color w:val="auto"/>
                <w:sz w:val="21"/>
              </w:rPr>
              <mc:AlternateContent>
                <mc:Choice Requires="wps">
                  <w:drawing>
                    <wp:anchor distT="0" distB="0" distL="114300" distR="114300" simplePos="0" relativeHeight="251741184" behindDoc="0" locked="0" layoutInCell="1" allowOverlap="1">
                      <wp:simplePos x="0" y="0"/>
                      <wp:positionH relativeFrom="column">
                        <wp:posOffset>741680</wp:posOffset>
                      </wp:positionH>
                      <wp:positionV relativeFrom="paragraph">
                        <wp:posOffset>308610</wp:posOffset>
                      </wp:positionV>
                      <wp:extent cx="692785" cy="199390"/>
                      <wp:effectExtent l="0" t="0" r="0" b="0"/>
                      <wp:wrapNone/>
                      <wp:docPr id="184" name="文本框 52"/>
                      <wp:cNvGraphicFramePr/>
                      <a:graphic xmlns:a="http://schemas.openxmlformats.org/drawingml/2006/main">
                        <a:graphicData uri="http://schemas.microsoft.com/office/word/2010/wordprocessingShape">
                          <wps:wsp>
                            <wps:cNvSpPr txBox="1"/>
                            <wps:spPr>
                              <a:xfrm>
                                <a:off x="0" y="0"/>
                                <a:ext cx="692785" cy="199390"/>
                              </a:xfrm>
                              <a:prstGeom prst="rect">
                                <a:avLst/>
                              </a:prstGeom>
                              <a:noFill/>
                              <a:ln>
                                <a:noFill/>
                              </a:ln>
                            </wps:spPr>
                            <wps:txbx>
                              <w:txbxContent>
                                <w:p w14:paraId="1A7BA3B1">
                                  <w:pPr>
                                    <w:jc w:val="center"/>
                                    <w:rPr>
                                      <w:rFonts w:hint="default" w:eastAsia="宋体"/>
                                      <w:szCs w:val="18"/>
                                      <w:lang w:val="en-US" w:eastAsia="zh-CN"/>
                                    </w:rPr>
                                  </w:pPr>
                                  <w:r>
                                    <w:rPr>
                                      <w:rFonts w:hint="eastAsia"/>
                                      <w:sz w:val="18"/>
                                      <w:szCs w:val="15"/>
                                      <w:lang w:val="en-US" w:eastAsia="zh-CN"/>
                                    </w:rPr>
                                    <w:t>纯水5.796</w:t>
                                  </w:r>
                                </w:p>
                              </w:txbxContent>
                            </wps:txbx>
                            <wps:bodyPr lIns="0" tIns="0" rIns="0" bIns="0" upright="1"/>
                          </wps:wsp>
                        </a:graphicData>
                      </a:graphic>
                    </wp:anchor>
                  </w:drawing>
                </mc:Choice>
                <mc:Fallback>
                  <w:pict>
                    <v:shape id="文本框 52" o:spid="_x0000_s1026" o:spt="202" type="#_x0000_t202" style="position:absolute;left:0pt;margin-left:58.4pt;margin-top:24.3pt;height:15.7pt;width:54.55pt;z-index:251741184;mso-width-relative:page;mso-height-relative:page;" filled="f" stroked="f" coordsize="21600,21600" o:gfxdata="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0A583XAAAACQEAAA8AAAAAAAAAAQAgAAAAIgAAAGRycy9kb3ducmV2LnhtbFBL&#10;AQIUABQAAAAIAIdO4kBvxO9vvgEAAHQDAAAOAAAAAAAAAAEAIAAAACYBAABkcnMvZTJvRG9jLnht&#10;bFBLBQYAAAAABgAGAFkBAABWBQAAAAA=&#10;">
                      <v:fill on="f" focussize="0,0"/>
                      <v:stroke on="f"/>
                      <v:imagedata o:title=""/>
                      <o:lock v:ext="edit" aspectratio="f"/>
                      <v:textbox inset="0mm,0mm,0mm,0mm">
                        <w:txbxContent>
                          <w:p w14:paraId="1A7BA3B1">
                            <w:pPr>
                              <w:jc w:val="center"/>
                              <w:rPr>
                                <w:rFonts w:hint="default" w:eastAsia="宋体"/>
                                <w:szCs w:val="18"/>
                                <w:lang w:val="en-US" w:eastAsia="zh-CN"/>
                              </w:rPr>
                            </w:pPr>
                            <w:r>
                              <w:rPr>
                                <w:rFonts w:hint="eastAsia"/>
                                <w:sz w:val="18"/>
                                <w:szCs w:val="15"/>
                                <w:lang w:val="en-US" w:eastAsia="zh-CN"/>
                              </w:rPr>
                              <w:t>纯水5.796</w:t>
                            </w:r>
                          </w:p>
                        </w:txbxContent>
                      </v:textbox>
                    </v:shape>
                  </w:pict>
                </mc:Fallback>
              </mc:AlternateContent>
            </w:r>
            <w:r>
              <w:rPr>
                <w:rFonts w:hint="default" w:eastAsia="黑体" w:cs="宋体"/>
                <w:color w:val="auto"/>
                <w:kern w:val="0"/>
                <w:szCs w:val="21"/>
              </w:rPr>
              <mc:AlternateContent>
                <mc:Choice Requires="wps">
                  <w:drawing>
                    <wp:anchor distT="0" distB="0" distL="114300" distR="114300" simplePos="0" relativeHeight="251730944" behindDoc="0" locked="0" layoutInCell="1" allowOverlap="1">
                      <wp:simplePos x="0" y="0"/>
                      <wp:positionH relativeFrom="column">
                        <wp:posOffset>4258945</wp:posOffset>
                      </wp:positionH>
                      <wp:positionV relativeFrom="paragraph">
                        <wp:posOffset>31750</wp:posOffset>
                      </wp:positionV>
                      <wp:extent cx="387350" cy="199390"/>
                      <wp:effectExtent l="0" t="0" r="0" b="0"/>
                      <wp:wrapNone/>
                      <wp:docPr id="143" name="文本框 58"/>
                      <wp:cNvGraphicFramePr/>
                      <a:graphic xmlns:a="http://schemas.openxmlformats.org/drawingml/2006/main">
                        <a:graphicData uri="http://schemas.microsoft.com/office/word/2010/wordprocessingShape">
                          <wps:wsp>
                            <wps:cNvSpPr txBox="1"/>
                            <wps:spPr>
                              <a:xfrm>
                                <a:off x="0" y="0"/>
                                <a:ext cx="387350" cy="199390"/>
                              </a:xfrm>
                              <a:prstGeom prst="rect">
                                <a:avLst/>
                              </a:prstGeom>
                              <a:noFill/>
                              <a:ln>
                                <a:noFill/>
                              </a:ln>
                            </wps:spPr>
                            <wps:txbx>
                              <w:txbxContent>
                                <w:p w14:paraId="6CE6BBFB">
                                  <w:pPr>
                                    <w:jc w:val="center"/>
                                    <w:rPr>
                                      <w:rFonts w:hint="default" w:eastAsia="宋体"/>
                                      <w:szCs w:val="18"/>
                                      <w:lang w:val="en-US" w:eastAsia="zh-CN"/>
                                    </w:rPr>
                                  </w:pPr>
                                  <w:r>
                                    <w:rPr>
                                      <w:rFonts w:hint="eastAsia"/>
                                      <w:szCs w:val="18"/>
                                      <w:lang w:val="en-US" w:eastAsia="zh-CN"/>
                                    </w:rPr>
                                    <w:t>30.936</w:t>
                                  </w:r>
                                </w:p>
                              </w:txbxContent>
                            </wps:txbx>
                            <wps:bodyPr lIns="0" tIns="0" rIns="0" bIns="0" upright="1"/>
                          </wps:wsp>
                        </a:graphicData>
                      </a:graphic>
                    </wp:anchor>
                  </w:drawing>
                </mc:Choice>
                <mc:Fallback>
                  <w:pict>
                    <v:shape id="文本框 58" o:spid="_x0000_s1026" o:spt="202" type="#_x0000_t202" style="position:absolute;left:0pt;margin-left:335.35pt;margin-top:2.5pt;height:15.7pt;width:30.5pt;z-index:251730944;mso-width-relative:page;mso-height-relative:page;" filled="f" stroked="f" coordsize="21600,21600" o:gfxdata="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YYAYNcAAAAIAQAADwAAAAAAAAABACAAAAAiAAAAZHJzL2Rvd25yZXYueG1sUEsB&#10;AhQAFAAAAAgAh07iQHaOWY+9AQAAdAMAAA4AAAAAAAAAAQAgAAAAJgEAAGRycy9lMm9Eb2MueG1s&#10;UEsFBgAAAAAGAAYAWQEAAFUFAAAAAA==&#10;">
                      <v:fill on="f" focussize="0,0"/>
                      <v:stroke on="f"/>
                      <v:imagedata o:title=""/>
                      <o:lock v:ext="edit" aspectratio="f"/>
                      <v:textbox inset="0mm,0mm,0mm,0mm">
                        <w:txbxContent>
                          <w:p w14:paraId="6CE6BBFB">
                            <w:pPr>
                              <w:jc w:val="center"/>
                              <w:rPr>
                                <w:rFonts w:hint="default" w:eastAsia="宋体"/>
                                <w:szCs w:val="18"/>
                                <w:lang w:val="en-US" w:eastAsia="zh-CN"/>
                              </w:rPr>
                            </w:pPr>
                            <w:r>
                              <w:rPr>
                                <w:rFonts w:hint="eastAsia"/>
                                <w:szCs w:val="18"/>
                                <w:lang w:val="en-US" w:eastAsia="zh-CN"/>
                              </w:rPr>
                              <w:t>30.936</w:t>
                            </w:r>
                          </w:p>
                        </w:txbxContent>
                      </v:textbox>
                    </v:shape>
                  </w:pict>
                </mc:Fallback>
              </mc:AlternateContent>
            </w:r>
            <w:r>
              <w:rPr>
                <w:rFonts w:hint="default" w:eastAsia="黑体" w:cs="宋体"/>
                <w:color w:val="auto"/>
                <w:kern w:val="0"/>
                <w:szCs w:val="21"/>
              </w:rPr>
              <mc:AlternateContent>
                <mc:Choice Requires="wps">
                  <w:drawing>
                    <wp:anchor distT="0" distB="0" distL="114300" distR="114300" simplePos="0" relativeHeight="251723776" behindDoc="0" locked="0" layoutInCell="1" allowOverlap="1">
                      <wp:simplePos x="0" y="0"/>
                      <wp:positionH relativeFrom="column">
                        <wp:posOffset>2243455</wp:posOffset>
                      </wp:positionH>
                      <wp:positionV relativeFrom="paragraph">
                        <wp:posOffset>55880</wp:posOffset>
                      </wp:positionV>
                      <wp:extent cx="817245" cy="199390"/>
                      <wp:effectExtent l="0" t="0" r="0" b="0"/>
                      <wp:wrapNone/>
                      <wp:docPr id="133" name="Text Box 2873"/>
                      <wp:cNvGraphicFramePr/>
                      <a:graphic xmlns:a="http://schemas.openxmlformats.org/drawingml/2006/main">
                        <a:graphicData uri="http://schemas.microsoft.com/office/word/2010/wordprocessingShape">
                          <wps:wsp>
                            <wps:cNvSpPr txBox="1"/>
                            <wps:spPr>
                              <a:xfrm>
                                <a:off x="0" y="0"/>
                                <a:ext cx="817245" cy="199390"/>
                              </a:xfrm>
                              <a:prstGeom prst="rect">
                                <a:avLst/>
                              </a:prstGeom>
                              <a:noFill/>
                              <a:ln>
                                <a:noFill/>
                              </a:ln>
                            </wps:spPr>
                            <wps:txbx>
                              <w:txbxContent>
                                <w:p w14:paraId="6E435B77">
                                  <w:pPr>
                                    <w:jc w:val="center"/>
                                    <w:rPr>
                                      <w:rFonts w:hint="default" w:eastAsia="宋体"/>
                                      <w:szCs w:val="18"/>
                                      <w:lang w:val="en-US" w:eastAsia="zh-CN"/>
                                    </w:rPr>
                                  </w:pPr>
                                  <w:r>
                                    <w:rPr>
                                      <w:rFonts w:hint="eastAsia"/>
                                      <w:szCs w:val="18"/>
                                      <w:lang w:val="en-US" w:eastAsia="zh-CN"/>
                                    </w:rPr>
                                    <w:t>阴性区5.451</w:t>
                                  </w:r>
                                </w:p>
                              </w:txbxContent>
                            </wps:txbx>
                            <wps:bodyPr lIns="0" tIns="0" rIns="0" bIns="0" upright="1"/>
                          </wps:wsp>
                        </a:graphicData>
                      </a:graphic>
                    </wp:anchor>
                  </w:drawing>
                </mc:Choice>
                <mc:Fallback>
                  <w:pict>
                    <v:shape id="Text Box 2873" o:spid="_x0000_s1026" o:spt="202" type="#_x0000_t202" style="position:absolute;left:0pt;margin-left:176.65pt;margin-top:4.4pt;height:15.7pt;width:64.35pt;z-index:251723776;mso-width-relative:page;mso-height-relative:page;" filled="f" stroked="f" coordsize="21600,21600" o:gfxdata="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AxRrPX&#10;AAAACAEAAA8AAAAAAAAAAQAgAAAAIgAAAGRycy9kb3ducmV2LnhtbFBLAQIUABQAAAAIAIdO4kAf&#10;bruUrwEAAHUDAAAOAAAAAAAAAAEAIAAAACYBAABkcnMvZTJvRG9jLnhtbFBLBQYAAAAABgAGAFkB&#10;AABHBQAAAAA=&#10;">
                      <v:fill on="f" focussize="0,0"/>
                      <v:stroke on="f"/>
                      <v:imagedata o:title=""/>
                      <o:lock v:ext="edit" aspectratio="f"/>
                      <v:textbox inset="0mm,0mm,0mm,0mm">
                        <w:txbxContent>
                          <w:p w14:paraId="6E435B77">
                            <w:pPr>
                              <w:jc w:val="center"/>
                              <w:rPr>
                                <w:rFonts w:hint="default" w:eastAsia="宋体"/>
                                <w:szCs w:val="18"/>
                                <w:lang w:val="en-US" w:eastAsia="zh-CN"/>
                              </w:rPr>
                            </w:pPr>
                            <w:r>
                              <w:rPr>
                                <w:rFonts w:hint="eastAsia"/>
                                <w:szCs w:val="18"/>
                                <w:lang w:val="en-US" w:eastAsia="zh-CN"/>
                              </w:rPr>
                              <w:t>阴性区5.451</w:t>
                            </w:r>
                          </w:p>
                        </w:txbxContent>
                      </v:textbox>
                    </v:shape>
                  </w:pict>
                </mc:Fallback>
              </mc:AlternateContent>
            </w:r>
          </w:p>
          <w:p w14:paraId="41C8E8BC">
            <w:pPr>
              <w:keepNext w:val="0"/>
              <w:keepLines w:val="0"/>
              <w:suppressLineNumbers w:val="0"/>
              <w:tabs>
                <w:tab w:val="left" w:pos="2553"/>
              </w:tabs>
              <w:spacing w:before="0" w:beforeAutospacing="0" w:after="0" w:afterAutospacing="0" w:line="560" w:lineRule="exact"/>
              <w:ind w:left="0" w:right="0" w:firstLine="560" w:firstLineChars="200"/>
              <w:rPr>
                <w:rFonts w:hint="default"/>
                <w:color w:val="auto"/>
                <w:sz w:val="28"/>
                <w:szCs w:val="28"/>
              </w:rPr>
            </w:pPr>
            <w:r>
              <w:rPr>
                <w:rFonts w:hint="default"/>
                <w:color w:val="auto"/>
                <w:sz w:val="28"/>
                <w:szCs w:val="28"/>
              </w:rPr>
              <mc:AlternateContent>
                <mc:Choice Requires="wps">
                  <w:drawing>
                    <wp:anchor distT="0" distB="0" distL="114300" distR="114300" simplePos="0" relativeHeight="251743232" behindDoc="0" locked="0" layoutInCell="1" allowOverlap="1">
                      <wp:simplePos x="0" y="0"/>
                      <wp:positionH relativeFrom="column">
                        <wp:posOffset>1615440</wp:posOffset>
                      </wp:positionH>
                      <wp:positionV relativeFrom="paragraph">
                        <wp:posOffset>78105</wp:posOffset>
                      </wp:positionV>
                      <wp:extent cx="635" cy="144145"/>
                      <wp:effectExtent l="38100" t="0" r="37465" b="8255"/>
                      <wp:wrapNone/>
                      <wp:docPr id="193" name="直接连接符 193"/>
                      <wp:cNvGraphicFramePr/>
                      <a:graphic xmlns:a="http://schemas.openxmlformats.org/drawingml/2006/main">
                        <a:graphicData uri="http://schemas.microsoft.com/office/word/2010/wordprocessingShape">
                          <wps:wsp>
                            <wps:cNvCnPr/>
                            <wps:spPr>
                              <a:xfrm flipH="1">
                                <a:off x="0" y="0"/>
                                <a:ext cx="635" cy="144145"/>
                              </a:xfrm>
                              <a:prstGeom prst="line">
                                <a:avLst/>
                              </a:prstGeom>
                              <a:ln>
                                <a:solidFill>
                                  <a:srgbClr val="00000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27.2pt;margin-top:6.15pt;height:11.35pt;width:0.05pt;z-index:251743232;mso-width-relative:page;mso-height-relative:page;" filled="f" stroked="t" coordsize="21600,21600" o:gfxdata="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rnbwtYAAAAJAQAADwAAAAAAAAABACAAAAAiAAAAZHJzL2Rvd25yZXYu&#10;eG1sUEsBAhQAFAAAAAgAh07iQCEVuAj9AQAA3QMAAA4AAAAAAAAAAQAgAAAAJQEAAGRycy9lMm9E&#10;b2MueG1sUEsFBgAAAAAGAAYAWQEAAJQFAAAAAA==&#10;">
                      <v:fill on="f" focussize="0,0"/>
                      <v:stroke color="#000000 [3204]" joinstyle="round" startarrow="block"/>
                      <v:imagedata o:title=""/>
                      <o:lock v:ext="edit" aspectratio="f"/>
                    </v:line>
                  </w:pict>
                </mc:Fallback>
              </mc:AlternateContent>
            </w:r>
            <w:r>
              <w:rPr>
                <w:rFonts w:hint="default"/>
                <w:color w:val="auto"/>
                <w:sz w:val="28"/>
                <w:szCs w:val="28"/>
              </w:rPr>
              <mc:AlternateContent>
                <mc:Choice Requires="wps">
                  <w:drawing>
                    <wp:anchor distT="0" distB="0" distL="114300" distR="114300" simplePos="0" relativeHeight="251742208" behindDoc="0" locked="0" layoutInCell="1" allowOverlap="1">
                      <wp:simplePos x="0" y="0"/>
                      <wp:positionH relativeFrom="column">
                        <wp:posOffset>1359535</wp:posOffset>
                      </wp:positionH>
                      <wp:positionV relativeFrom="paragraph">
                        <wp:posOffset>123190</wp:posOffset>
                      </wp:positionV>
                      <wp:extent cx="635" cy="71755"/>
                      <wp:effectExtent l="4445" t="0" r="13970" b="4445"/>
                      <wp:wrapNone/>
                      <wp:docPr id="192" name="直接连接符 192"/>
                      <wp:cNvGraphicFramePr/>
                      <a:graphic xmlns:a="http://schemas.openxmlformats.org/drawingml/2006/main">
                        <a:graphicData uri="http://schemas.microsoft.com/office/word/2010/wordprocessingShape">
                          <wps:wsp>
                            <wps:cNvCnPr/>
                            <wps:spPr>
                              <a:xfrm flipH="1">
                                <a:off x="0" y="0"/>
                                <a:ext cx="635" cy="71755"/>
                              </a:xfrm>
                              <a:prstGeom prst="line">
                                <a:avLst/>
                              </a:prstGeom>
                              <a:ln>
                                <a:solidFill>
                                  <a:srgbClr val="000000"/>
                                </a:solidFill>
                                <a:head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07.05pt;margin-top:9.7pt;height:5.65pt;width:0.05pt;z-index:251742208;mso-width-relative:page;mso-height-relative:page;" filled="f" stroked="t" coordsize="21600,21600" o:gfxdata="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95bq1gAAAAkBAAAPAAAAAAAAAAEAIAAAACIAAABkcnMvZG93bnJldi54bWxQSwECFAAUAAAA&#10;CACHTuJArM/XTvABAADAAwAADgAAAAAAAAABACAAAAAlAQAAZHJzL2Uyb0RvYy54bWxQSwUGAAAA&#10;AAYABgBZAQAAhwUAAAAA&#10;">
                      <v:fill on="f" focussize="0,0"/>
                      <v:stroke color="#000000 [3204]" joinstyle="round"/>
                      <v:imagedata o:title=""/>
                      <o:lock v:ext="edit" aspectratio="f"/>
                    </v:line>
                  </w:pict>
                </mc:Fallback>
              </mc:AlternateContent>
            </w:r>
            <w:r>
              <w:rPr>
                <w:rFonts w:hint="default"/>
                <w:color w:val="auto"/>
                <w:sz w:val="21"/>
              </w:rPr>
              <mc:AlternateContent>
                <mc:Choice Requires="wps">
                  <w:drawing>
                    <wp:anchor distT="0" distB="0" distL="114300" distR="114300" simplePos="0" relativeHeight="251740160" behindDoc="0" locked="0" layoutInCell="1" allowOverlap="1">
                      <wp:simplePos x="0" y="0"/>
                      <wp:positionH relativeFrom="column">
                        <wp:posOffset>704850</wp:posOffset>
                      </wp:positionH>
                      <wp:positionV relativeFrom="paragraph">
                        <wp:posOffset>124460</wp:posOffset>
                      </wp:positionV>
                      <wp:extent cx="661670" cy="635"/>
                      <wp:effectExtent l="0" t="0" r="0" b="0"/>
                      <wp:wrapNone/>
                      <wp:docPr id="178" name="直线 51"/>
                      <wp:cNvGraphicFramePr/>
                      <a:graphic xmlns:a="http://schemas.openxmlformats.org/drawingml/2006/main">
                        <a:graphicData uri="http://schemas.microsoft.com/office/word/2010/wordprocessingShape">
                          <wps:wsp>
                            <wps:cNvCnPr/>
                            <wps:spPr>
                              <a:xfrm>
                                <a:off x="0" y="0"/>
                                <a:ext cx="66167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51" o:spid="_x0000_s1026" o:spt="20" style="position:absolute;left:0pt;margin-left:55.5pt;margin-top:9.8pt;height:0.05pt;width:52.1pt;z-index:251740160;mso-width-relative:page;mso-height-relative:page;" filled="f" stroked="t" coordsize="21600,21600" o:gfxdata="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hb8wvW&#10;AAAACQEAAA8AAAAAAAAAAQAgAAAAIgAAAGRycy9kb3ducmV2LnhtbFBLAQIUABQAAAAIAIdO4kBJ&#10;Kfra6QEAAN8DAAAOAAAAAAAAAAEAIAAAACUBAABkcnMvZTJvRG9jLnhtbFBLBQYAAAAABgAGAFkB&#10;AACABQAAAAA=&#10;">
                      <v:fill on="f" focussize="0,0"/>
                      <v:stroke color="#000000" joinstyle="round"/>
                      <v:imagedata o:title=""/>
                      <o:lock v:ext="edit" aspectratio="f"/>
                    </v:line>
                  </w:pict>
                </mc:Fallback>
              </mc:AlternateContent>
            </w:r>
            <w:r>
              <w:rPr>
                <w:rFonts w:hint="default"/>
                <w:color w:val="auto"/>
                <w:sz w:val="21"/>
              </w:rPr>
              <mc:AlternateContent>
                <mc:Choice Requires="wps">
                  <w:drawing>
                    <wp:anchor distT="0" distB="0" distL="114300" distR="114300" simplePos="0" relativeHeight="251734016" behindDoc="0" locked="0" layoutInCell="1" allowOverlap="1">
                      <wp:simplePos x="0" y="0"/>
                      <wp:positionH relativeFrom="column">
                        <wp:posOffset>658495</wp:posOffset>
                      </wp:positionH>
                      <wp:positionV relativeFrom="paragraph">
                        <wp:posOffset>207010</wp:posOffset>
                      </wp:positionV>
                      <wp:extent cx="331470" cy="199390"/>
                      <wp:effectExtent l="0" t="0" r="0" b="0"/>
                      <wp:wrapNone/>
                      <wp:docPr id="146" name="文本框 52"/>
                      <wp:cNvGraphicFramePr/>
                      <a:graphic xmlns:a="http://schemas.openxmlformats.org/drawingml/2006/main">
                        <a:graphicData uri="http://schemas.microsoft.com/office/word/2010/wordprocessingShape">
                          <wps:wsp>
                            <wps:cNvSpPr txBox="1"/>
                            <wps:spPr>
                              <a:xfrm>
                                <a:off x="0" y="0"/>
                                <a:ext cx="331470" cy="199390"/>
                              </a:xfrm>
                              <a:prstGeom prst="rect">
                                <a:avLst/>
                              </a:prstGeom>
                              <a:noFill/>
                              <a:ln>
                                <a:noFill/>
                              </a:ln>
                            </wps:spPr>
                            <wps:txbx>
                              <w:txbxContent>
                                <w:p w14:paraId="26C36EA3">
                                  <w:pPr>
                                    <w:jc w:val="center"/>
                                    <w:rPr>
                                      <w:rFonts w:hint="default" w:eastAsia="宋体"/>
                                      <w:szCs w:val="18"/>
                                      <w:lang w:val="en-US" w:eastAsia="zh-CN"/>
                                    </w:rPr>
                                  </w:pPr>
                                  <w:r>
                                    <w:rPr>
                                      <w:rFonts w:hint="eastAsia"/>
                                      <w:szCs w:val="18"/>
                                      <w:lang w:val="en-US" w:eastAsia="zh-CN"/>
                                    </w:rPr>
                                    <w:t>10</w:t>
                                  </w:r>
                                </w:p>
                              </w:txbxContent>
                            </wps:txbx>
                            <wps:bodyPr lIns="0" tIns="0" rIns="0" bIns="0" upright="1"/>
                          </wps:wsp>
                        </a:graphicData>
                      </a:graphic>
                    </wp:anchor>
                  </w:drawing>
                </mc:Choice>
                <mc:Fallback>
                  <w:pict>
                    <v:shape id="文本框 52" o:spid="_x0000_s1026" o:spt="202" type="#_x0000_t202" style="position:absolute;left:0pt;margin-left:51.85pt;margin-top:16.3pt;height:15.7pt;width:26.1pt;z-index:251734016;mso-width-relative:page;mso-height-relative:page;" filled="f" stroked="f" coordsize="21600,21600" o:gfxdata="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EZXYAAAACQEAAA8AAAAAAAAAAQAgAAAAIgAAAGRycy9kb3ducmV2LnhtbFBL&#10;AQIUABQAAAAIAIdO4kDDy173vQEAAHQDAAAOAAAAAAAAAAEAIAAAACcBAABkcnMvZTJvRG9jLnht&#10;bFBLBQYAAAAABgAGAFkBAABWBQAAAAA=&#10;">
                      <v:fill on="f" focussize="0,0"/>
                      <v:stroke on="f"/>
                      <v:imagedata o:title=""/>
                      <o:lock v:ext="edit" aspectratio="f"/>
                      <v:textbox inset="0mm,0mm,0mm,0mm">
                        <w:txbxContent>
                          <w:p w14:paraId="26C36EA3">
                            <w:pPr>
                              <w:jc w:val="center"/>
                              <w:rPr>
                                <w:rFonts w:hint="default" w:eastAsia="宋体"/>
                                <w:szCs w:val="18"/>
                                <w:lang w:val="en-US" w:eastAsia="zh-CN"/>
                              </w:rPr>
                            </w:pPr>
                            <w:r>
                              <w:rPr>
                                <w:rFonts w:hint="eastAsia"/>
                                <w:szCs w:val="18"/>
                                <w:lang w:val="en-US" w:eastAsia="zh-CN"/>
                              </w:rPr>
                              <w:t>10</w:t>
                            </w:r>
                          </w:p>
                        </w:txbxContent>
                      </v:textbox>
                    </v:shape>
                  </w:pict>
                </mc:Fallback>
              </mc:AlternateContent>
            </w:r>
            <w:r>
              <w:rPr>
                <w:rFonts w:hint="default"/>
                <w:color w:val="auto"/>
                <w:sz w:val="21"/>
              </w:rPr>
              <mc:AlternateContent>
                <mc:Choice Requires="wps">
                  <w:drawing>
                    <wp:anchor distT="0" distB="0" distL="114300" distR="114300" simplePos="0" relativeHeight="251737088" behindDoc="0" locked="0" layoutInCell="1" allowOverlap="1">
                      <wp:simplePos x="0" y="0"/>
                      <wp:positionH relativeFrom="column">
                        <wp:posOffset>1932940</wp:posOffset>
                      </wp:positionH>
                      <wp:positionV relativeFrom="paragraph">
                        <wp:posOffset>198120</wp:posOffset>
                      </wp:positionV>
                      <wp:extent cx="521335" cy="199390"/>
                      <wp:effectExtent l="0" t="0" r="0" b="0"/>
                      <wp:wrapNone/>
                      <wp:docPr id="174" name="文本框 52"/>
                      <wp:cNvGraphicFramePr/>
                      <a:graphic xmlns:a="http://schemas.openxmlformats.org/drawingml/2006/main">
                        <a:graphicData uri="http://schemas.microsoft.com/office/word/2010/wordprocessingShape">
                          <wps:wsp>
                            <wps:cNvSpPr txBox="1"/>
                            <wps:spPr>
                              <a:xfrm>
                                <a:off x="0" y="0"/>
                                <a:ext cx="521335" cy="199390"/>
                              </a:xfrm>
                              <a:prstGeom prst="rect">
                                <a:avLst/>
                              </a:prstGeom>
                              <a:noFill/>
                              <a:ln>
                                <a:noFill/>
                              </a:ln>
                            </wps:spPr>
                            <wps:txbx>
                              <w:txbxContent>
                                <w:p w14:paraId="21B062EC">
                                  <w:pPr>
                                    <w:jc w:val="center"/>
                                    <w:rPr>
                                      <w:rFonts w:hint="default" w:eastAsia="宋体"/>
                                      <w:sz w:val="20"/>
                                      <w:szCs w:val="16"/>
                                      <w:lang w:val="en-US" w:eastAsia="zh-CN"/>
                                    </w:rPr>
                                  </w:pPr>
                                  <w:r>
                                    <w:rPr>
                                      <w:rFonts w:hint="eastAsia"/>
                                      <w:sz w:val="20"/>
                                      <w:szCs w:val="16"/>
                                      <w:lang w:val="en-US" w:eastAsia="zh-CN"/>
                                    </w:rPr>
                                    <w:t>浓水4</w:t>
                                  </w:r>
                                </w:p>
                              </w:txbxContent>
                            </wps:txbx>
                            <wps:bodyPr lIns="0" tIns="0" rIns="0" bIns="0" upright="1"/>
                          </wps:wsp>
                        </a:graphicData>
                      </a:graphic>
                    </wp:anchor>
                  </w:drawing>
                </mc:Choice>
                <mc:Fallback>
                  <w:pict>
                    <v:shape id="文本框 52" o:spid="_x0000_s1026" o:spt="202" type="#_x0000_t202" style="position:absolute;left:0pt;margin-left:152.2pt;margin-top:15.6pt;height:15.7pt;width:41.05pt;z-index:251737088;mso-width-relative:page;mso-height-relative:page;" filled="f" stroked="f" coordsize="21600,21600" o:gfxdata="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7883dkAAAAJAQAADwAAAAAAAAABACAAAAAiAAAAZHJzL2Rvd25yZXYueG1s&#10;UEsBAhQAFAAAAAgAh07iQOZei0y+AQAAdAMAAA4AAAAAAAAAAQAgAAAAKAEAAGRycy9lMm9Eb2Mu&#10;eG1sUEsFBgAAAAAGAAYAWQEAAFgFAAAAAA==&#10;">
                      <v:fill on="f" focussize="0,0"/>
                      <v:stroke on="f"/>
                      <v:imagedata o:title=""/>
                      <o:lock v:ext="edit" aspectratio="f"/>
                      <v:textbox inset="0mm,0mm,0mm,0mm">
                        <w:txbxContent>
                          <w:p w14:paraId="21B062EC">
                            <w:pPr>
                              <w:jc w:val="center"/>
                              <w:rPr>
                                <w:rFonts w:hint="default" w:eastAsia="宋体"/>
                                <w:sz w:val="20"/>
                                <w:szCs w:val="16"/>
                                <w:lang w:val="en-US" w:eastAsia="zh-CN"/>
                              </w:rPr>
                            </w:pPr>
                            <w:r>
                              <w:rPr>
                                <w:rFonts w:hint="eastAsia"/>
                                <w:sz w:val="20"/>
                                <w:szCs w:val="16"/>
                                <w:lang w:val="en-US" w:eastAsia="zh-CN"/>
                              </w:rPr>
                              <w:t>浓水4</w:t>
                            </w:r>
                          </w:p>
                        </w:txbxContent>
                      </v:textbox>
                    </v:shape>
                  </w:pict>
                </mc:Fallback>
              </mc:AlternateContent>
            </w:r>
            <w:r>
              <w:rPr>
                <w:rFonts w:hint="default"/>
                <w:color w:val="auto"/>
                <w:sz w:val="21"/>
              </w:rPr>
              <mc:AlternateContent>
                <mc:Choice Requires="wps">
                  <w:drawing>
                    <wp:anchor distT="0" distB="0" distL="114300" distR="114300" simplePos="0" relativeHeight="251736064" behindDoc="0" locked="0" layoutInCell="1" allowOverlap="1">
                      <wp:simplePos x="0" y="0"/>
                      <wp:positionH relativeFrom="column">
                        <wp:posOffset>2408555</wp:posOffset>
                      </wp:positionH>
                      <wp:positionV relativeFrom="paragraph">
                        <wp:posOffset>287655</wp:posOffset>
                      </wp:positionV>
                      <wp:extent cx="861695" cy="199390"/>
                      <wp:effectExtent l="0" t="0" r="0" b="0"/>
                      <wp:wrapNone/>
                      <wp:docPr id="173" name="文本框 52"/>
                      <wp:cNvGraphicFramePr/>
                      <a:graphic xmlns:a="http://schemas.openxmlformats.org/drawingml/2006/main">
                        <a:graphicData uri="http://schemas.microsoft.com/office/word/2010/wordprocessingShape">
                          <wps:wsp>
                            <wps:cNvSpPr txBox="1"/>
                            <wps:spPr>
                              <a:xfrm>
                                <a:off x="0" y="0"/>
                                <a:ext cx="861695" cy="199390"/>
                              </a:xfrm>
                              <a:prstGeom prst="rect">
                                <a:avLst/>
                              </a:prstGeom>
                              <a:noFill/>
                              <a:ln>
                                <a:noFill/>
                              </a:ln>
                            </wps:spPr>
                            <wps:txbx>
                              <w:txbxContent>
                                <w:p w14:paraId="58A4380C">
                                  <w:pPr>
                                    <w:jc w:val="center"/>
                                    <w:rPr>
                                      <w:rFonts w:hint="default" w:eastAsia="宋体"/>
                                      <w:szCs w:val="18"/>
                                      <w:lang w:val="en-US" w:eastAsia="zh-CN"/>
                                    </w:rPr>
                                  </w:pPr>
                                  <w:r>
                                    <w:rPr>
                                      <w:rFonts w:hint="eastAsia"/>
                                      <w:szCs w:val="18"/>
                                      <w:lang w:val="en-US" w:eastAsia="zh-CN"/>
                                    </w:rPr>
                                    <w:t>排入雨水沟</w:t>
                                  </w:r>
                                </w:p>
                              </w:txbxContent>
                            </wps:txbx>
                            <wps:bodyPr lIns="0" tIns="0" rIns="0" bIns="0" upright="1"/>
                          </wps:wsp>
                        </a:graphicData>
                      </a:graphic>
                    </wp:anchor>
                  </w:drawing>
                </mc:Choice>
                <mc:Fallback>
                  <w:pict>
                    <v:shape id="文本框 52" o:spid="_x0000_s1026" o:spt="202" type="#_x0000_t202" style="position:absolute;left:0pt;margin-left:189.65pt;margin-top:22.65pt;height:15.7pt;width:67.85pt;z-index:251736064;mso-width-relative:page;mso-height-relative:page;" filled="f" stroked="f" coordsize="21600,21600" o:gfxdata="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bZ2UdkAAAAJAQAADwAAAAAAAAABACAAAAAiAAAAZHJzL2Rvd25yZXYueG1s&#10;UEsBAhQAFAAAAAgAh07iQADZilS+AQAAdAMAAA4AAAAAAAAAAQAgAAAAKAEAAGRycy9lMm9Eb2Mu&#10;eG1sUEsFBgAAAAAGAAYAWQEAAFgFAAAAAA==&#10;">
                      <v:fill on="f" focussize="0,0"/>
                      <v:stroke on="f"/>
                      <v:imagedata o:title=""/>
                      <o:lock v:ext="edit" aspectratio="f"/>
                      <v:textbox inset="0mm,0mm,0mm,0mm">
                        <w:txbxContent>
                          <w:p w14:paraId="58A4380C">
                            <w:pPr>
                              <w:jc w:val="center"/>
                              <w:rPr>
                                <w:rFonts w:hint="default" w:eastAsia="宋体"/>
                                <w:szCs w:val="18"/>
                                <w:lang w:val="en-US" w:eastAsia="zh-CN"/>
                              </w:rPr>
                            </w:pPr>
                            <w:r>
                              <w:rPr>
                                <w:rFonts w:hint="eastAsia"/>
                                <w:szCs w:val="18"/>
                                <w:lang w:val="en-US" w:eastAsia="zh-CN"/>
                              </w:rPr>
                              <w:t>排入雨水沟</w:t>
                            </w:r>
                          </w:p>
                        </w:txbxContent>
                      </v:textbox>
                    </v:shape>
                  </w:pict>
                </mc:Fallback>
              </mc:AlternateContent>
            </w:r>
            <w:r>
              <w:rPr>
                <w:rFonts w:hint="default"/>
                <w:color w:val="auto"/>
                <w:sz w:val="21"/>
              </w:rPr>
              <mc:AlternateContent>
                <mc:Choice Requires="wps">
                  <w:drawing>
                    <wp:anchor distT="0" distB="0" distL="114300" distR="114300" simplePos="0" relativeHeight="251732992" behindDoc="0" locked="0" layoutInCell="1" allowOverlap="1">
                      <wp:simplePos x="0" y="0"/>
                      <wp:positionH relativeFrom="column">
                        <wp:posOffset>1062355</wp:posOffset>
                      </wp:positionH>
                      <wp:positionV relativeFrom="paragraph">
                        <wp:posOffset>219075</wp:posOffset>
                      </wp:positionV>
                      <wp:extent cx="860425" cy="273050"/>
                      <wp:effectExtent l="4445" t="4445" r="11430" b="8255"/>
                      <wp:wrapNone/>
                      <wp:docPr id="145" name="矩形 53"/>
                      <wp:cNvGraphicFramePr/>
                      <a:graphic xmlns:a="http://schemas.openxmlformats.org/drawingml/2006/main">
                        <a:graphicData uri="http://schemas.microsoft.com/office/word/2010/wordprocessingShape">
                          <wps:wsp>
                            <wps:cNvSpPr/>
                            <wps:spPr>
                              <a:xfrm>
                                <a:off x="0" y="0"/>
                                <a:ext cx="860425" cy="273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96E436">
                                  <w:pPr>
                                    <w:jc w:val="center"/>
                                    <w:rPr>
                                      <w:rFonts w:hint="default" w:ascii="宋体" w:hAnsi="宋体" w:eastAsia="宋体"/>
                                      <w:color w:val="000000"/>
                                      <w:lang w:val="en-US" w:eastAsia="zh-CN"/>
                                    </w:rPr>
                                  </w:pPr>
                                  <w:r>
                                    <w:rPr>
                                      <w:rFonts w:hint="eastAsia" w:ascii="宋体" w:hAnsi="宋体"/>
                                      <w:color w:val="000000"/>
                                      <w:lang w:val="en-US" w:eastAsia="zh-CN"/>
                                    </w:rPr>
                                    <w:t>纯水制备</w:t>
                                  </w:r>
                                </w:p>
                              </w:txbxContent>
                            </wps:txbx>
                            <wps:bodyPr upright="1"/>
                          </wps:wsp>
                        </a:graphicData>
                      </a:graphic>
                    </wp:anchor>
                  </w:drawing>
                </mc:Choice>
                <mc:Fallback>
                  <w:pict>
                    <v:rect id="矩形 53" o:spid="_x0000_s1026" o:spt="1" style="position:absolute;left:0pt;margin-left:83.65pt;margin-top:17.25pt;height:21.5pt;width:67.75pt;z-index:251732992;mso-width-relative:page;mso-height-relative:page;" fillcolor="#FFFFFF" filled="t" stroked="t" coordsize="21600,21600" o:gfxdata="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zhvT1wAAAAkBAAAPAAAAAAAAAAEAIAAAACIAAABkcnMv&#10;ZG93bnJldi54bWxQSwECFAAUAAAACACHTuJAwbCNfgQCAAArBAAADgAAAAAAAAABACAAAAAmAQAA&#10;ZHJzL2Uyb0RvYy54bWxQSwUGAAAAAAYABgBZAQAAnAUAAAAA&#10;">
                      <v:fill on="t" focussize="0,0"/>
                      <v:stroke color="#000000" joinstyle="miter"/>
                      <v:imagedata o:title=""/>
                      <o:lock v:ext="edit" aspectratio="f"/>
                      <v:textbox>
                        <w:txbxContent>
                          <w:p w14:paraId="0696E436">
                            <w:pPr>
                              <w:jc w:val="center"/>
                              <w:rPr>
                                <w:rFonts w:hint="default" w:ascii="宋体" w:hAnsi="宋体" w:eastAsia="宋体"/>
                                <w:color w:val="000000"/>
                                <w:lang w:val="en-US" w:eastAsia="zh-CN"/>
                              </w:rPr>
                            </w:pPr>
                            <w:r>
                              <w:rPr>
                                <w:rFonts w:hint="eastAsia" w:ascii="宋体" w:hAnsi="宋体"/>
                                <w:color w:val="000000"/>
                                <w:lang w:val="en-US" w:eastAsia="zh-CN"/>
                              </w:rPr>
                              <w:t>纯水制备</w:t>
                            </w:r>
                          </w:p>
                        </w:txbxContent>
                      </v:textbox>
                    </v:rect>
                  </w:pict>
                </mc:Fallback>
              </mc:AlternateContent>
            </w:r>
            <w:r>
              <w:rPr>
                <w:rFonts w:hint="default"/>
                <w:color w:val="auto"/>
                <w:sz w:val="21"/>
              </w:rPr>
              <mc:AlternateContent>
                <mc:Choice Requires="wps">
                  <w:drawing>
                    <wp:anchor distT="0" distB="0" distL="114300" distR="114300" simplePos="0" relativeHeight="251731968" behindDoc="0" locked="0" layoutInCell="1" allowOverlap="1">
                      <wp:simplePos x="0" y="0"/>
                      <wp:positionH relativeFrom="column">
                        <wp:posOffset>584200</wp:posOffset>
                      </wp:positionH>
                      <wp:positionV relativeFrom="paragraph">
                        <wp:posOffset>348615</wp:posOffset>
                      </wp:positionV>
                      <wp:extent cx="478790" cy="635"/>
                      <wp:effectExtent l="0" t="37465" r="16510" b="38100"/>
                      <wp:wrapNone/>
                      <wp:docPr id="144" name="直线 51"/>
                      <wp:cNvGraphicFramePr/>
                      <a:graphic xmlns:a="http://schemas.openxmlformats.org/drawingml/2006/main">
                        <a:graphicData uri="http://schemas.microsoft.com/office/word/2010/wordprocessingShape">
                          <wps:wsp>
                            <wps:cNvCnPr/>
                            <wps:spPr>
                              <a:xfrm>
                                <a:off x="0" y="0"/>
                                <a:ext cx="47879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1" o:spid="_x0000_s1026" o:spt="20" style="position:absolute;left:0pt;margin-left:46pt;margin-top:27.45pt;height:0.05pt;width:37.7pt;z-index:251731968;mso-width-relative:page;mso-height-relative:page;" filled="f" stroked="t" coordsize="21600,21600" o:gfxdata="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UGuvbaAAAACAEAAA8AAAAAAAAAAQAgAAAAIgAAAGRycy9kb3ducmV2LnhtbFBLAQIU&#10;ABQAAAAIAIdO4kB60rbB8QEAAOMDAAAOAAAAAAAAAAEAIAAAACkBAABkcnMvZTJvRG9jLnhtbFBL&#10;BQYAAAAABgAGAFkBAACMBQAAAAA=&#10;">
                      <v:fill on="f" focussize="0,0"/>
                      <v:stroke color="#000000" joinstyle="round" endarrow="block"/>
                      <v:imagedata o:title=""/>
                      <o:lock v:ext="edit" aspectratio="f"/>
                    </v:line>
                  </w:pict>
                </mc:Fallback>
              </mc:AlternateContent>
            </w:r>
            <w:r>
              <w:rPr>
                <w:rFonts w:hint="default" w:eastAsia="黑体" w:cs="宋体"/>
                <w:color w:val="auto"/>
                <w:kern w:val="0"/>
                <w:szCs w:val="21"/>
              </w:rPr>
              <w:pict>
                <v:rect id="_x0000_s1064" o:spid="_x0000_s1064" o:spt="1" style="position:absolute;left:0pt;margin-left:323.85pt;margin-top:0.35pt;height:33.4pt;width:57.3pt;z-index:251680768;mso-width-relative:page;mso-height-relative:page;" fillcolor="#FFFFFF" filled="t" stroked="t" coordsize="21600,21600">
                  <v:path/>
                  <v:fill on="t" color2="#FFFFFF" focussize="0,0"/>
                  <v:stroke color="#000000" joinstyle="miter"/>
                  <v:imagedata o:title=""/>
                  <o:lock v:ext="edit" aspectratio="f"/>
                  <v:textbox>
                    <w:txbxContent>
                      <w:p w14:paraId="25DD5C64">
                        <w:pPr>
                          <w:ind w:left="-105" w:leftChars="-50" w:right="-105" w:rightChars="-50"/>
                          <w:jc w:val="center"/>
                          <w:rPr>
                            <w:rFonts w:ascii="宋体" w:hAnsi="宋体"/>
                            <w:color w:val="000000"/>
                          </w:rPr>
                        </w:pPr>
                        <w:r>
                          <w:rPr>
                            <w:rFonts w:hint="eastAsia" w:ascii="宋体" w:hAnsi="宋体"/>
                            <w:color w:val="000000"/>
                            <w:lang w:val="en-US" w:eastAsia="zh-CN"/>
                          </w:rPr>
                          <w:t>罗江镇</w:t>
                        </w:r>
                        <w:r>
                          <w:rPr>
                            <w:rFonts w:hint="eastAsia" w:ascii="宋体" w:hAnsi="宋体"/>
                            <w:color w:val="000000"/>
                          </w:rPr>
                          <w:t>污水处理厂</w:t>
                        </w:r>
                      </w:p>
                    </w:txbxContent>
                  </v:textbox>
                </v:rect>
              </w:pict>
            </w:r>
            <w:r>
              <w:rPr>
                <w:rFonts w:hint="default"/>
                <w:color w:val="auto"/>
                <w:sz w:val="28"/>
                <w:szCs w:val="28"/>
              </w:rPr>
              <w:tab/>
            </w:r>
          </w:p>
          <w:p w14:paraId="4A6CFD79">
            <w:pPr>
              <w:keepNext w:val="0"/>
              <w:keepLines w:val="0"/>
              <w:suppressLineNumbers w:val="0"/>
              <w:spacing w:before="0" w:beforeAutospacing="0" w:after="0" w:afterAutospacing="0" w:line="560" w:lineRule="exact"/>
              <w:ind w:left="0" w:right="0" w:firstLine="420" w:firstLineChars="200"/>
              <w:rPr>
                <w:rFonts w:hint="default"/>
                <w:color w:val="auto"/>
                <w:sz w:val="28"/>
                <w:szCs w:val="28"/>
              </w:rPr>
            </w:pPr>
            <w:r>
              <w:rPr>
                <w:rFonts w:hint="default"/>
                <w:color w:val="auto"/>
                <w:sz w:val="21"/>
              </w:rPr>
              <mc:AlternateContent>
                <mc:Choice Requires="wps">
                  <w:drawing>
                    <wp:anchor distT="0" distB="0" distL="114300" distR="114300" simplePos="0" relativeHeight="251735040" behindDoc="0" locked="0" layoutInCell="1" allowOverlap="1">
                      <wp:simplePos x="0" y="0"/>
                      <wp:positionH relativeFrom="column">
                        <wp:posOffset>1927225</wp:posOffset>
                      </wp:positionH>
                      <wp:positionV relativeFrom="paragraph">
                        <wp:posOffset>3175</wp:posOffset>
                      </wp:positionV>
                      <wp:extent cx="478790" cy="635"/>
                      <wp:effectExtent l="0" t="37465" r="16510" b="38100"/>
                      <wp:wrapNone/>
                      <wp:docPr id="154" name="直线 51"/>
                      <wp:cNvGraphicFramePr/>
                      <a:graphic xmlns:a="http://schemas.openxmlformats.org/drawingml/2006/main">
                        <a:graphicData uri="http://schemas.microsoft.com/office/word/2010/wordprocessingShape">
                          <wps:wsp>
                            <wps:cNvCnPr/>
                            <wps:spPr>
                              <a:xfrm>
                                <a:off x="0" y="0"/>
                                <a:ext cx="478790" cy="635"/>
                              </a:xfrm>
                              <a:prstGeom prst="line">
                                <a:avLst/>
                              </a:prstGeom>
                              <a:ln w="9525" cap="flat" cmpd="sng">
                                <a:solidFill>
                                  <a:srgbClr val="000000"/>
                                </a:solidFill>
                                <a:prstDash val="dash"/>
                                <a:headEnd type="none" w="med" len="med"/>
                                <a:tailEnd type="triangle" w="med" len="med"/>
                              </a:ln>
                            </wps:spPr>
                            <wps:bodyPr upright="1"/>
                          </wps:wsp>
                        </a:graphicData>
                      </a:graphic>
                    </wp:anchor>
                  </w:drawing>
                </mc:Choice>
                <mc:Fallback>
                  <w:pict>
                    <v:line id="直线 51" o:spid="_x0000_s1026" o:spt="20" style="position:absolute;left:0pt;margin-left:151.75pt;margin-top:0.25pt;height:0.05pt;width:37.7pt;z-index:251735040;mso-width-relative:page;mso-height-relative:page;" filled="f" stroked="t" coordsize="21600,21600" o:gfxdata="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Zz0sjWAAAABQEAAA8AAAAAAAAAAQAgAAAAIgAAAGRycy9kb3ducmV2LnhtbFBLAQIUABQA&#10;AAAIAIdO4kA5wYjj8gEAAOIDAAAOAAAAAAAAAAEAIAAAACUBAABkcnMvZTJvRG9jLnhtbFBLBQYA&#10;AAAABgAGAFkBAACJBQAAAAA=&#10;">
                      <v:fill on="f" focussize="0,0"/>
                      <v:stroke color="#000000" joinstyle="round" dashstyle="dash" endarrow="block"/>
                      <v:imagedata o:title=""/>
                      <o:lock v:ext="edit" aspectratio="f"/>
                    </v:line>
                  </w:pict>
                </mc:Fallback>
              </mc:AlternateContent>
            </w:r>
            <w:r>
              <w:rPr>
                <w:rFonts w:hint="default" w:eastAsia="黑体" w:cs="宋体"/>
                <w:color w:val="auto"/>
                <w:kern w:val="0"/>
                <w:szCs w:val="21"/>
              </w:rPr>
              <w:pict>
                <v:group id="_x0000_s1066" o:spid="_x0000_s1066" o:spt="203" style="position:absolute;left:0pt;margin-left:47.15pt;margin-top:20.4pt;height:23.6pt;width:211.35pt;z-index:251672576;mso-width-relative:page;mso-height-relative:page;" coordorigin="3799,4233" coordsize="4227,472">
                  <o:lock v:ext="edit"/>
                  <v:line id="_x0000_s1045" o:spid="_x0000_s1045" o:spt="20" style="position:absolute;left:3799;top:4492;height:0;width:832;" coordsize="21600,21600">
                    <v:path arrowok="t"/>
                    <v:fill focussize="0,0"/>
                    <v:stroke endarrow="block"/>
                    <v:imagedata o:title=""/>
                    <o:lock v:ext="edit"/>
                  </v:line>
                  <v:shape id="_x0000_s1046" o:spid="_x0000_s1046" o:spt="202" type="#_x0000_t202" style="position:absolute;left:4034;top:4233;height:314;width:522;" filled="f" stroked="f" coordsize="21600,21600">
                    <v:path/>
                    <v:fill on="f" focussize="0,0"/>
                    <v:stroke on="f" joinstyle="miter"/>
                    <v:imagedata o:title=""/>
                    <o:lock v:ext="edit"/>
                    <v:textbox inset="0mm,0mm,0mm,0mm">
                      <w:txbxContent>
                        <w:p w14:paraId="4401132F">
                          <w:pPr>
                            <w:rPr>
                              <w:szCs w:val="18"/>
                            </w:rPr>
                          </w:pPr>
                          <w:r>
                            <w:rPr>
                              <w:rFonts w:hint="eastAsia"/>
                              <w:szCs w:val="18"/>
                            </w:rPr>
                            <w:t>0.2</w:t>
                          </w:r>
                        </w:p>
                      </w:txbxContent>
                    </v:textbox>
                  </v:shape>
                  <v:rect id="_x0000_s1047" o:spid="_x0000_s1047" o:spt="1" style="position:absolute;left:4631;top:4275;height:430;width:1269;" coordsize="21600,21600">
                    <v:path/>
                    <v:fill focussize="0,0"/>
                    <v:stroke/>
                    <v:imagedata o:title=""/>
                    <o:lock v:ext="edit"/>
                    <v:textbox>
                      <w:txbxContent>
                        <w:p w14:paraId="0722652A">
                          <w:pPr>
                            <w:jc w:val="center"/>
                            <w:rPr>
                              <w:rFonts w:ascii="宋体" w:hAnsi="宋体"/>
                              <w:color w:val="000000"/>
                            </w:rPr>
                          </w:pPr>
                          <w:r>
                            <w:rPr>
                              <w:rFonts w:hint="eastAsia" w:ascii="宋体" w:hAnsi="宋体"/>
                              <w:color w:val="000000"/>
                            </w:rPr>
                            <w:t>消毒用水</w:t>
                          </w:r>
                        </w:p>
                      </w:txbxContent>
                    </v:textbox>
                  </v:rect>
                  <v:line id="_x0000_s1048" o:spid="_x0000_s1048" o:spt="20" style="position:absolute;left:5900;top:4492;height:0;width:832;" coordsize="21600,21600">
                    <v:path arrowok="t"/>
                    <v:fill focussize="0,0"/>
                    <v:stroke dashstyle="dash" endarrow="block"/>
                    <v:imagedata o:title=""/>
                    <o:lock v:ext="edit"/>
                  </v:line>
                  <v:shape id="_x0000_s1049" o:spid="_x0000_s1049" o:spt="202" type="#_x0000_t202" style="position:absolute;left:6719;top:4333;height:314;width:1307;" filled="f" stroked="f" coordsize="21600,21600">
                    <v:path/>
                    <v:fill on="f" focussize="0,0"/>
                    <v:stroke on="f" joinstyle="miter"/>
                    <v:imagedata o:title=""/>
                    <o:lock v:ext="edit"/>
                    <v:textbox inset="0mm,0mm,0mm,0mm">
                      <w:txbxContent>
                        <w:p w14:paraId="67F8F18D">
                          <w:pPr>
                            <w:jc w:val="center"/>
                            <w:rPr>
                              <w:szCs w:val="18"/>
                            </w:rPr>
                          </w:pPr>
                          <w:r>
                            <w:rPr>
                              <w:rFonts w:hint="eastAsia"/>
                              <w:szCs w:val="18"/>
                            </w:rPr>
                            <w:t>不计入排水</w:t>
                          </w:r>
                        </w:p>
                      </w:txbxContent>
                    </v:textbox>
                  </v:shape>
                </v:group>
              </w:pict>
            </w:r>
            <w:r>
              <w:rPr>
                <w:rFonts w:hint="default" w:eastAsia="黑体" w:cs="宋体"/>
                <w:color w:val="auto"/>
                <w:kern w:val="0"/>
                <w:szCs w:val="21"/>
              </w:rPr>
              <w:pict>
                <v:shape id="_x0000_s1065" o:spid="_x0000_s1065" o:spt="202" type="#_x0000_t202" style="position:absolute;left:0pt;margin-left:323.1pt;margin-top:20.95pt;height:26.15pt;width:61.15pt;z-index:251682816;mso-width-relative:page;mso-height-relative:page;" filled="f" stroked="f" coordsize="21600,21600">
                  <v:path/>
                  <v:fill on="f" focussize="0,0"/>
                  <v:stroke on="f" joinstyle="miter"/>
                  <v:imagedata o:title=""/>
                  <o:lock v:ext="edit"/>
                  <v:textbox inset="0mm,0mm,0mm,0mm">
                    <w:txbxContent>
                      <w:p w14:paraId="211EEE52">
                        <w:pPr>
                          <w:jc w:val="center"/>
                          <w:rPr>
                            <w:szCs w:val="18"/>
                          </w:rPr>
                        </w:pPr>
                        <w:r>
                          <w:rPr>
                            <w:rFonts w:hint="eastAsia"/>
                            <w:szCs w:val="18"/>
                          </w:rPr>
                          <w:t>达标排入</w:t>
                        </w:r>
                      </w:p>
                      <w:p w14:paraId="614A391C">
                        <w:pPr>
                          <w:jc w:val="center"/>
                          <w:rPr>
                            <w:szCs w:val="18"/>
                          </w:rPr>
                        </w:pPr>
                        <w:r>
                          <w:rPr>
                            <w:rFonts w:hint="eastAsia"/>
                            <w:szCs w:val="18"/>
                          </w:rPr>
                          <w:t>州河</w:t>
                        </w:r>
                      </w:p>
                    </w:txbxContent>
                  </v:textbox>
                </v:shape>
              </w:pict>
            </w:r>
            <w:r>
              <w:rPr>
                <w:rFonts w:hint="default"/>
                <w:color w:val="auto"/>
                <w:sz w:val="28"/>
                <w:szCs w:val="28"/>
              </w:rPr>
              <mc:AlternateContent>
                <mc:Choice Requires="wps">
                  <w:drawing>
                    <wp:anchor distT="0" distB="0" distL="114300" distR="114300" simplePos="0" relativeHeight="251669504" behindDoc="0" locked="0" layoutInCell="1" allowOverlap="1">
                      <wp:simplePos x="0" y="0"/>
                      <wp:positionH relativeFrom="column">
                        <wp:posOffset>4457065</wp:posOffset>
                      </wp:positionH>
                      <wp:positionV relativeFrom="paragraph">
                        <wp:posOffset>69850</wp:posOffset>
                      </wp:positionV>
                      <wp:extent cx="0" cy="215900"/>
                      <wp:effectExtent l="76200" t="0" r="57150" b="50800"/>
                      <wp:wrapNone/>
                      <wp:docPr id="14" name="直接连接符 14"/>
                      <wp:cNvGraphicFramePr/>
                      <a:graphic xmlns:a="http://schemas.openxmlformats.org/drawingml/2006/main">
                        <a:graphicData uri="http://schemas.microsoft.com/office/word/2010/wordprocessingShape">
                          <wps:wsp>
                            <wps:cNvCnPr/>
                            <wps:spPr>
                              <a:xfrm>
                                <a:off x="0" y="0"/>
                                <a:ext cx="0" cy="216039"/>
                              </a:xfrm>
                              <a:prstGeom prst="line">
                                <a:avLst/>
                              </a:prstGeom>
                              <a:ln>
                                <a:solidFill>
                                  <a:srgbClr val="0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50.95pt;margin-top:5.5pt;height:17pt;width:0pt;z-index:251669504;mso-width-relative:page;mso-height-relative:page;" filled="f" stroked="t" coordsize="21600,21600" o:gfxdata="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MvT2dgAAAAJAQAADwAAAAAAAAABACAAAAAiAAAAZHJzL2Rvd25y&#10;ZXYueG1sUEsBAhQAFAAAAAgAh07iQN4ASY7+AQAA8wMAAA4AAAAAAAAAAQAgAAAAJwEAAGRycy9l&#10;Mm9Eb2MueG1sUEsFBgAAAAAGAAYAWQEAAJcFAAAAAA==&#10;">
                      <v:fill on="f" focussize="0,0"/>
                      <v:stroke color="#000000 [3204]" joinstyle="round" endarrow="block"/>
                      <v:imagedata o:title=""/>
                      <o:lock v:ext="edit" aspectratio="f"/>
                    </v:line>
                  </w:pict>
                </mc:Fallback>
              </mc:AlternateContent>
            </w:r>
          </w:p>
          <w:p w14:paraId="2BD951A9">
            <w:pPr>
              <w:keepNext w:val="0"/>
              <w:keepLines w:val="0"/>
              <w:suppressLineNumbers w:val="0"/>
              <w:spacing w:before="0" w:beforeAutospacing="0" w:after="0" w:afterAutospacing="0" w:line="560" w:lineRule="exact"/>
              <w:ind w:left="0" w:right="0" w:firstLine="560" w:firstLineChars="200"/>
              <w:rPr>
                <w:rFonts w:hint="default"/>
                <w:color w:val="auto"/>
                <w:sz w:val="28"/>
                <w:szCs w:val="28"/>
              </w:rPr>
            </w:pPr>
            <w:r>
              <w:rPr>
                <w:rFonts w:hint="default"/>
                <w:color w:val="auto"/>
                <w:sz w:val="28"/>
                <w:szCs w:val="28"/>
              </w:rPr>
              <w:pict>
                <v:group id="_x0000_s1067" o:spid="_x0000_s1067" o:spt="203" style="position:absolute;left:0pt;margin-left:47.2pt;margin-top:24.15pt;height:21.5pt;width:224.65pt;z-index:251673600;mso-width-relative:page;mso-height-relative:page;" coordorigin="3799,5032" coordsize="4493,430">
                  <o:lock v:ext="edit"/>
                  <v:line id="_x0000_s1050" o:spid="_x0000_s1050" o:spt="20" style="position:absolute;left:3799;top:5254;height:0;width:832;" coordsize="21600,21600">
                    <v:path arrowok="t"/>
                    <v:fill focussize="0,0"/>
                    <v:stroke endarrow="block"/>
                    <v:imagedata o:title=""/>
                    <o:lock v:ext="edit"/>
                  </v:line>
                  <v:shape id="_x0000_s1051" o:spid="_x0000_s1051" o:spt="202" type="#_x0000_t202" style="position:absolute;left:4034;top:5032;height:314;width:522;" filled="f" stroked="f" coordsize="21600,21600">
                    <v:path/>
                    <v:fill on="f" focussize="0,0"/>
                    <v:stroke on="f" joinstyle="miter"/>
                    <v:imagedata o:title=""/>
                    <o:lock v:ext="edit"/>
                    <v:textbox inset="0mm,0mm,0mm,0mm">
                      <w:txbxContent>
                        <w:p w14:paraId="26E6E976">
                          <w:pPr>
                            <w:rPr>
                              <w:szCs w:val="18"/>
                            </w:rPr>
                          </w:pPr>
                          <w:r>
                            <w:rPr>
                              <w:rFonts w:hint="eastAsia"/>
                              <w:szCs w:val="18"/>
                              <w:lang w:val="en-US" w:eastAsia="zh-CN"/>
                            </w:rPr>
                            <w:t>3</w:t>
                          </w:r>
                          <w:r>
                            <w:rPr>
                              <w:rFonts w:hint="eastAsia"/>
                              <w:szCs w:val="18"/>
                            </w:rPr>
                            <w:t>.72</w:t>
                          </w:r>
                        </w:p>
                      </w:txbxContent>
                    </v:textbox>
                  </v:shape>
                  <v:rect id="_x0000_s1052" o:spid="_x0000_s1052" o:spt="1" style="position:absolute;left:4631;top:5032;height:430;width:1538;" coordsize="21600,21600">
                    <v:path/>
                    <v:fill focussize="0,0"/>
                    <v:stroke/>
                    <v:imagedata o:title=""/>
                    <o:lock v:ext="edit"/>
                    <v:textbox>
                      <w:txbxContent>
                        <w:p w14:paraId="06F740C0">
                          <w:pPr>
                            <w:jc w:val="center"/>
                            <w:rPr>
                              <w:rFonts w:ascii="宋体" w:hAnsi="宋体"/>
                              <w:color w:val="000000"/>
                            </w:rPr>
                          </w:pPr>
                          <w:r>
                            <w:rPr>
                              <w:rFonts w:hint="eastAsia" w:ascii="宋体" w:hAnsi="宋体"/>
                              <w:color w:val="000000"/>
                            </w:rPr>
                            <w:t>未预见用水</w:t>
                          </w:r>
                        </w:p>
                      </w:txbxContent>
                    </v:textbox>
                  </v:rect>
                  <v:line id="_x0000_s1053" o:spid="_x0000_s1053" o:spt="20" style="position:absolute;left:6169;top:5254;height:0;width:832;" coordsize="21600,21600">
                    <v:path arrowok="t"/>
                    <v:fill focussize="0,0"/>
                    <v:stroke dashstyle="dash" endarrow="block"/>
                    <v:imagedata o:title=""/>
                    <o:lock v:ext="edit"/>
                  </v:line>
                  <v:shape id="_x0000_s1054" o:spid="_x0000_s1054" o:spt="202" type="#_x0000_t202" style="position:absolute;left:6985;top:5075;height:314;width:1307;" filled="f" stroked="f" coordsize="21600,21600">
                    <v:path/>
                    <v:fill on="f" focussize="0,0"/>
                    <v:stroke on="f" joinstyle="miter"/>
                    <v:imagedata o:title=""/>
                    <o:lock v:ext="edit"/>
                    <v:textbox inset="0mm,0mm,0mm,0mm">
                      <w:txbxContent>
                        <w:p w14:paraId="652AE33F">
                          <w:pPr>
                            <w:jc w:val="center"/>
                            <w:rPr>
                              <w:szCs w:val="18"/>
                            </w:rPr>
                          </w:pPr>
                          <w:r>
                            <w:rPr>
                              <w:rFonts w:hint="eastAsia"/>
                              <w:szCs w:val="18"/>
                            </w:rPr>
                            <w:t>蒸发、渗透</w:t>
                          </w:r>
                        </w:p>
                      </w:txbxContent>
                    </v:textbox>
                  </v:shape>
                </v:group>
              </w:pict>
            </w:r>
          </w:p>
          <w:p w14:paraId="4A2BF77E">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rPr>
            </w:pPr>
          </w:p>
          <w:p w14:paraId="190D3539">
            <w:pPr>
              <w:pStyle w:val="2"/>
              <w:keepNext w:val="0"/>
              <w:keepLines w:val="0"/>
              <w:suppressLineNumbers w:val="0"/>
              <w:spacing w:before="0" w:beforeAutospacing="0" w:afterAutospacing="0"/>
              <w:ind w:right="0"/>
              <w:rPr>
                <w:rFonts w:hint="default" w:eastAsia="黑体" w:cs="宋体"/>
                <w:color w:val="auto"/>
                <w:kern w:val="0"/>
              </w:rPr>
            </w:pPr>
            <w:r>
              <w:rPr>
                <w:rFonts w:hint="default" w:eastAsia="黑体"/>
                <w:bCs/>
                <w:color w:val="auto"/>
                <w:sz w:val="30"/>
                <w:szCs w:val="30"/>
              </w:rPr>
              <mc:AlternateContent>
                <mc:Choice Requires="wps">
                  <w:drawing>
                    <wp:anchor distT="0" distB="0" distL="114300" distR="114300" simplePos="0" relativeHeight="251660288" behindDoc="0" locked="0" layoutInCell="1" allowOverlap="1">
                      <wp:simplePos x="0" y="0"/>
                      <wp:positionH relativeFrom="column">
                        <wp:posOffset>810895</wp:posOffset>
                      </wp:positionH>
                      <wp:positionV relativeFrom="paragraph">
                        <wp:posOffset>49530</wp:posOffset>
                      </wp:positionV>
                      <wp:extent cx="3314700" cy="280035"/>
                      <wp:effectExtent l="0" t="0" r="0" b="0"/>
                      <wp:wrapNone/>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3314700" cy="280035"/>
                              </a:xfrm>
                              <a:prstGeom prst="rect">
                                <a:avLst/>
                              </a:prstGeom>
                              <a:noFill/>
                              <a:ln>
                                <a:noFill/>
                              </a:ln>
                            </wps:spPr>
                            <wps:txbx>
                              <w:txbxContent>
                                <w:p w14:paraId="4B9CA6EF">
                                  <w:pPr>
                                    <w:pStyle w:val="35"/>
                                    <w:rPr>
                                      <w:szCs w:val="18"/>
                                    </w:rPr>
                                  </w:pPr>
                                  <w:r>
                                    <w:rPr>
                                      <w:rFonts w:hint="eastAsia" w:ascii="黑体" w:hAnsi="黑体" w:eastAsia="黑体" w:cs="黑体"/>
                                      <w:color w:val="auto"/>
                                      <w:sz w:val="18"/>
                                      <w:szCs w:val="18"/>
                                    </w:rPr>
                                    <w:t>图</w:t>
                                  </w:r>
                                  <w:r>
                                    <w:rPr>
                                      <w:rFonts w:hint="eastAsia" w:ascii="黑体" w:hAnsi="黑体" w:eastAsia="黑体" w:cs="黑体"/>
                                      <w:color w:val="auto"/>
                                      <w:sz w:val="18"/>
                                      <w:szCs w:val="18"/>
                                      <w:lang w:val="en-US" w:eastAsia="zh-CN"/>
                                    </w:rPr>
                                    <w:t>2-</w:t>
                                  </w:r>
                                  <w:r>
                                    <w:rPr>
                                      <w:rFonts w:hint="eastAsia" w:eastAsia="黑体"/>
                                      <w:color w:val="auto"/>
                                      <w:sz w:val="18"/>
                                      <w:szCs w:val="18"/>
                                    </w:rPr>
                                    <w:t>1</w:t>
                                  </w:r>
                                  <w:r>
                                    <w:rPr>
                                      <w:rFonts w:hint="eastAsia" w:ascii="黑体" w:hAnsi="黑体" w:eastAsia="黑体" w:cs="黑体"/>
                                      <w:color w:val="auto"/>
                                      <w:sz w:val="18"/>
                                      <w:szCs w:val="18"/>
                                    </w:rPr>
                                    <w:t>：项目水平衡图（单位</w:t>
                                  </w:r>
                                  <w:r>
                                    <w:rPr>
                                      <w:rFonts w:hAnsi="黑体" w:eastAsia="黑体"/>
                                      <w:color w:val="auto"/>
                                      <w:sz w:val="18"/>
                                      <w:szCs w:val="18"/>
                                    </w:rPr>
                                    <w:t>：</w:t>
                                  </w:r>
                                  <w:r>
                                    <w:rPr>
                                      <w:rFonts w:eastAsia="黑体"/>
                                      <w:color w:val="auto"/>
                                      <w:sz w:val="18"/>
                                      <w:szCs w:val="18"/>
                                    </w:rPr>
                                    <w:t>m</w:t>
                                  </w:r>
                                  <w:r>
                                    <w:rPr>
                                      <w:rFonts w:eastAsia="黑体"/>
                                      <w:color w:val="auto"/>
                                      <w:sz w:val="18"/>
                                      <w:szCs w:val="18"/>
                                      <w:vertAlign w:val="superscript"/>
                                    </w:rPr>
                                    <w:t>3</w:t>
                                  </w:r>
                                  <w:r>
                                    <w:rPr>
                                      <w:rFonts w:eastAsia="黑体"/>
                                      <w:color w:val="auto"/>
                                      <w:sz w:val="18"/>
                                      <w:szCs w:val="18"/>
                                    </w:rPr>
                                    <w:t>/d</w:t>
                                  </w:r>
                                  <w:r>
                                    <w:rPr>
                                      <w:rFonts w:hint="eastAsia" w:ascii="黑体" w:hAnsi="黑体" w:eastAsia="黑体" w:cs="黑体"/>
                                      <w:color w:val="auto"/>
                                      <w:sz w:val="18"/>
                                      <w:szCs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3.85pt;margin-top:3.9pt;height:22.05pt;width:261pt;z-index:251660288;mso-width-relative:page;mso-height-relative:page;" filled="f" stroked="f" coordsize="21600,21600" o:gfxdata="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wEIb1QAAAAgBAAAPAAAAAAAAAAEAIAAA&#10;ACIAAABkcnMvZG93bnJldi54bWxQSwECFAAUAAAACACHTuJAnfSKig8CAAAHBAAADgAAAAAAAAAB&#10;ACAAAAAkAQAAZHJzL2Uyb0RvYy54bWxQSwUGAAAAAAYABgBZAQAApQUAAAAA&#10;">
                      <v:fill on="f" focussize="0,0"/>
                      <v:stroke on="f"/>
                      <v:imagedata o:title=""/>
                      <o:lock v:ext="edit" aspectratio="f"/>
                      <v:textbox inset="0mm,0mm,0mm,0mm">
                        <w:txbxContent>
                          <w:p w14:paraId="4B9CA6EF">
                            <w:pPr>
                              <w:pStyle w:val="35"/>
                              <w:rPr>
                                <w:szCs w:val="18"/>
                              </w:rPr>
                            </w:pPr>
                            <w:r>
                              <w:rPr>
                                <w:rFonts w:hint="eastAsia" w:ascii="黑体" w:hAnsi="黑体" w:eastAsia="黑体" w:cs="黑体"/>
                                <w:color w:val="auto"/>
                                <w:sz w:val="18"/>
                                <w:szCs w:val="18"/>
                              </w:rPr>
                              <w:t>图</w:t>
                            </w:r>
                            <w:r>
                              <w:rPr>
                                <w:rFonts w:hint="eastAsia" w:ascii="黑体" w:hAnsi="黑体" w:eastAsia="黑体" w:cs="黑体"/>
                                <w:color w:val="auto"/>
                                <w:sz w:val="18"/>
                                <w:szCs w:val="18"/>
                                <w:lang w:val="en-US" w:eastAsia="zh-CN"/>
                              </w:rPr>
                              <w:t>2-</w:t>
                            </w:r>
                            <w:r>
                              <w:rPr>
                                <w:rFonts w:hint="eastAsia" w:eastAsia="黑体"/>
                                <w:color w:val="auto"/>
                                <w:sz w:val="18"/>
                                <w:szCs w:val="18"/>
                              </w:rPr>
                              <w:t>1</w:t>
                            </w:r>
                            <w:r>
                              <w:rPr>
                                <w:rFonts w:hint="eastAsia" w:ascii="黑体" w:hAnsi="黑体" w:eastAsia="黑体" w:cs="黑体"/>
                                <w:color w:val="auto"/>
                                <w:sz w:val="18"/>
                                <w:szCs w:val="18"/>
                              </w:rPr>
                              <w:t>：项目水平衡图（单位</w:t>
                            </w:r>
                            <w:r>
                              <w:rPr>
                                <w:rFonts w:hAnsi="黑体" w:eastAsia="黑体"/>
                                <w:color w:val="auto"/>
                                <w:sz w:val="18"/>
                                <w:szCs w:val="18"/>
                              </w:rPr>
                              <w:t>：</w:t>
                            </w:r>
                            <w:r>
                              <w:rPr>
                                <w:rFonts w:eastAsia="黑体"/>
                                <w:color w:val="auto"/>
                                <w:sz w:val="18"/>
                                <w:szCs w:val="18"/>
                              </w:rPr>
                              <w:t>m</w:t>
                            </w:r>
                            <w:r>
                              <w:rPr>
                                <w:rFonts w:eastAsia="黑体"/>
                                <w:color w:val="auto"/>
                                <w:sz w:val="18"/>
                                <w:szCs w:val="18"/>
                                <w:vertAlign w:val="superscript"/>
                              </w:rPr>
                              <w:t>3</w:t>
                            </w:r>
                            <w:r>
                              <w:rPr>
                                <w:rFonts w:eastAsia="黑体"/>
                                <w:color w:val="auto"/>
                                <w:sz w:val="18"/>
                                <w:szCs w:val="18"/>
                              </w:rPr>
                              <w:t>/d</w:t>
                            </w:r>
                            <w:r>
                              <w:rPr>
                                <w:rFonts w:hint="eastAsia" w:ascii="黑体" w:hAnsi="黑体" w:eastAsia="黑体" w:cs="黑体"/>
                                <w:color w:val="auto"/>
                                <w:sz w:val="18"/>
                                <w:szCs w:val="18"/>
                              </w:rPr>
                              <w:t>）</w:t>
                            </w:r>
                          </w:p>
                        </w:txbxContent>
                      </v:textbox>
                    </v:shape>
                  </w:pict>
                </mc:Fallback>
              </mc:AlternateContent>
            </w:r>
          </w:p>
          <w:p w14:paraId="08C01C7C">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rPr>
            </w:pPr>
            <w:r>
              <w:rPr>
                <w:rFonts w:hint="eastAsia" w:eastAsia="黑体" w:cs="宋体"/>
                <w:color w:val="auto"/>
                <w:kern w:val="0"/>
                <w:lang w:val="en-US" w:eastAsia="zh-CN"/>
              </w:rPr>
              <w:t>7</w:t>
            </w:r>
            <w:r>
              <w:rPr>
                <w:rFonts w:hint="eastAsia" w:eastAsia="黑体" w:cs="宋体"/>
                <w:color w:val="auto"/>
                <w:kern w:val="0"/>
              </w:rPr>
              <w:t>、</w:t>
            </w:r>
            <w:r>
              <w:rPr>
                <w:rFonts w:hint="default" w:eastAsia="黑体" w:cs="宋体"/>
                <w:color w:val="auto"/>
                <w:kern w:val="0"/>
              </w:rPr>
              <w:t>劳动定员及工作制度</w:t>
            </w:r>
          </w:p>
          <w:p w14:paraId="366F0679">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rPr>
            </w:pPr>
            <w:r>
              <w:rPr>
                <w:rFonts w:hint="eastAsia" w:cs="宋体"/>
                <w:color w:val="auto"/>
                <w:kern w:val="0"/>
              </w:rPr>
              <w:t>劳动定员：项目建成营运后，医务人员共40人。</w:t>
            </w:r>
          </w:p>
          <w:p w14:paraId="523DF1D8">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rPr>
            </w:pPr>
            <w:r>
              <w:rPr>
                <w:rFonts w:hint="eastAsia" w:cs="宋体"/>
                <w:color w:val="auto"/>
                <w:kern w:val="0"/>
              </w:rPr>
              <w:t>工作制度：全年工作日为365天营业，每天工作24小时，三班制。</w:t>
            </w:r>
          </w:p>
          <w:p w14:paraId="2757399F">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rPr>
            </w:pPr>
            <w:r>
              <w:rPr>
                <w:rFonts w:hint="eastAsia" w:eastAsia="黑体" w:cs="宋体"/>
                <w:color w:val="auto"/>
                <w:kern w:val="0"/>
                <w:lang w:val="en-US" w:eastAsia="zh-CN"/>
              </w:rPr>
              <w:t>8</w:t>
            </w:r>
            <w:r>
              <w:rPr>
                <w:rFonts w:hint="default" w:eastAsia="黑体" w:cs="宋体"/>
                <w:color w:val="auto"/>
                <w:kern w:val="0"/>
              </w:rPr>
              <w:t>、平面布置</w:t>
            </w:r>
            <w:r>
              <w:rPr>
                <w:rFonts w:hint="eastAsia" w:eastAsia="黑体" w:cs="宋体"/>
                <w:color w:val="auto"/>
                <w:kern w:val="0"/>
              </w:rPr>
              <w:t>情况</w:t>
            </w:r>
          </w:p>
          <w:p w14:paraId="73C60FCE">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rPr>
            </w:pPr>
            <w:r>
              <w:rPr>
                <w:rFonts w:hint="eastAsia" w:cs="宋体"/>
                <w:color w:val="auto"/>
                <w:kern w:val="0"/>
              </w:rPr>
              <w:t>本项目位于通川区罗江镇高石社区，系租用达州德源医养中心的医疗服务用房进行建设，包括一栋4F的医疗楼和一间平房，总建筑面积3100m</w:t>
            </w:r>
            <w:r>
              <w:rPr>
                <w:rFonts w:hint="eastAsia" w:cs="宋体"/>
                <w:color w:val="auto"/>
                <w:kern w:val="0"/>
                <w:vertAlign w:val="superscript"/>
              </w:rPr>
              <w:t>2</w:t>
            </w:r>
            <w:r>
              <w:rPr>
                <w:rFonts w:hint="eastAsia" w:cs="宋体"/>
                <w:color w:val="auto"/>
                <w:kern w:val="0"/>
              </w:rPr>
              <w:t>。</w:t>
            </w:r>
          </w:p>
          <w:p w14:paraId="39AED118">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rPr>
            </w:pPr>
            <w:r>
              <w:rPr>
                <w:rFonts w:hint="eastAsia" w:cs="宋体"/>
                <w:color w:val="auto"/>
                <w:kern w:val="0"/>
              </w:rPr>
              <w:t>从整体上看，本项目位于整个德源医养中心大门进出口右侧。医疗楼在北、平房在南。医疗楼为放射科用房北侧，中间留有通道。平房占地地势较低，主要布置放射科的DR、CT等设备，旁边布置污水处理厂，便于利用废水重力自流收集院区废水。</w:t>
            </w:r>
          </w:p>
          <w:p w14:paraId="00F2F35F">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rPr>
            </w:pPr>
            <w:r>
              <w:rPr>
                <w:rFonts w:hint="eastAsia" w:cs="宋体"/>
                <w:color w:val="auto"/>
                <w:kern w:val="0"/>
              </w:rPr>
              <w:t>医疗楼为一栋独立建筑，共4层。其中1层布置接待大厅、急诊科、内科诊室、中医针灸推拿科、医保办公室、挂号收费室、药房、妇科诊室、库房、药品库、外科诊室、医生办公室、煎药室、养老评估室，中医康复科、检验科、储氧室、心电图室、彩超室、医废间等。2F设内科和中医老年科病房、多功能室、储藏室。3F设病房（中医针灸科、中医推拿科、中医康复科）、治疗室、医生办公室、护士值班室和护士站。4F设血液透析中心，包括阴性病区、阳性病区、血透水制备室、干库房、湿库房、污物区等。</w:t>
            </w:r>
          </w:p>
          <w:p w14:paraId="3238FAD0">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rPr>
            </w:pPr>
            <w:r>
              <w:rPr>
                <w:rFonts w:hint="eastAsia" w:cs="宋体"/>
                <w:color w:val="auto"/>
                <w:kern w:val="0"/>
              </w:rPr>
              <w:t>项目血透中心严格依据《血液透析中心基本标准》设计建设，血液透析室（中心）应遵循环境卫生学和感染控制的原则，做到布局合理、分区明确、标识清楚、功能流程合理，满足工作需要；区域划分应符合医疗机构相关感染控制要求。本项目血透中心采取分区布置，各类通道分开互不交叉的原则，包括治疗区、辅助功能区、污物区、办公区；其中治疗区为患者透析治疗区，分阴性区和阳性区。辅助功能区包括水处理间、库房水处理间、库房、更衣室等。污物区包括污染被服间、医疗废物暂存间和专用转移通道、洁具室。办公区包括医护人员办公室、治疗准备室等。各区域中具有潜在感染风险区域的是透析治疗室、接诊室/区、更衣室等。进入潜在感染风险区域和/或污染区域的被污染物品，未经消毒不得返回清洁区域。</w:t>
            </w:r>
          </w:p>
          <w:p w14:paraId="4F6CD591">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rPr>
            </w:pPr>
            <w:r>
              <w:rPr>
                <w:rFonts w:hint="eastAsia" w:cs="宋体"/>
                <w:color w:val="auto"/>
                <w:kern w:val="0"/>
              </w:rPr>
              <w:t>血透中心设置有3个独立的通道，包括污物通道、医护人员通道、病人通道。人流和物流分开设置。采取以上措施后，项目本项目医护、病患、耗材、医疗废物与其他楼层人流可实现分流管理，避免交叉感染。同时透析治疗室每个血液透析床/椅间距不小于1m。每1个透析单元应当有电源插座组、反渗水供给接口、透析废液排水接口等。透析治疗室应具备通风设施和/或空气消毒装置，光线充足、通风良好，达到《医院消毒卫生标准》(GB15982-2012）的Ⅲ类环境。</w:t>
            </w:r>
          </w:p>
          <w:p w14:paraId="6E9BBE17">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rPr>
            </w:pPr>
            <w:r>
              <w:rPr>
                <w:rFonts w:hint="default" w:cs="宋体"/>
                <w:color w:val="auto"/>
                <w:kern w:val="0"/>
              </w:rPr>
              <w:t>项目煎药室位于</w:t>
            </w:r>
            <w:r>
              <w:rPr>
                <w:rFonts w:hint="eastAsia" w:cs="宋体"/>
                <w:color w:val="auto"/>
                <w:kern w:val="0"/>
              </w:rPr>
              <w:t>一层为相对封闭的房间，便于煎药废气的收集处理，引至楼顶处理后排放。医废间位于医疗楼一层靠通道旁的房间，便于医疗废物转运；医废间严格按照相关卫生、环保、消防的要求建设，并安装密封门，可有效降低对治疗患者的影响。污水处理站位于CT室旁边，医疗废水及生活污水采用一体化污水处理设备处理达标后，经自建污水管网排入南面罗江镇市政污水管网。各池体加盖密闭，定期喷洒除臭剂并加强周边绿化。本项目产噪设备，通过建筑隔声、污水处理站安装隔音板或隔音棉后，对周围声环境影响较小。</w:t>
            </w:r>
          </w:p>
          <w:p w14:paraId="2CAFBAE2">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s="宋体"/>
                <w:color w:val="auto"/>
                <w:kern w:val="0"/>
              </w:rPr>
            </w:pPr>
            <w:r>
              <w:rPr>
                <w:rFonts w:hint="eastAsia" w:cs="宋体"/>
                <w:color w:val="auto"/>
                <w:kern w:val="0"/>
              </w:rPr>
              <w:t>项目设有单独消防通道，人流畅通便捷，可以真正做到人医分流。项目总体布置功能合理、流线清晰；联系紧密，流程便捷。项目总平面布置情况见下图。</w:t>
            </w:r>
          </w:p>
          <w:p w14:paraId="2512EED7">
            <w:pPr>
              <w:pStyle w:val="2"/>
              <w:keepNext w:val="0"/>
              <w:keepLines w:val="0"/>
              <w:suppressLineNumbers w:val="0"/>
              <w:spacing w:before="0" w:beforeAutospacing="0" w:afterAutospacing="0"/>
              <w:ind w:right="0"/>
              <w:rPr>
                <w:rFonts w:hint="eastAsia" w:cs="宋体"/>
                <w:color w:val="auto"/>
                <w:kern w:val="0"/>
              </w:rPr>
            </w:pPr>
          </w:p>
          <w:p w14:paraId="51BEDF08">
            <w:pPr>
              <w:pStyle w:val="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100" w:lineRule="exact"/>
              <w:ind w:left="0" w:right="0"/>
              <w:textAlignment w:val="auto"/>
              <w:rPr>
                <w:rFonts w:hint="eastAsia" w:cs="宋体"/>
                <w:color w:val="auto"/>
                <w:kern w:val="0"/>
              </w:rPr>
            </w:pPr>
          </w:p>
          <w:p w14:paraId="03841BC6">
            <w:pPr>
              <w:pStyle w:val="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100" w:lineRule="exact"/>
              <w:ind w:left="556" w:right="0"/>
              <w:textAlignment w:val="bottom"/>
              <w:rPr>
                <w:rFonts w:hint="eastAsia"/>
                <w:color w:val="auto"/>
              </w:rPr>
            </w:pPr>
          </w:p>
          <w:p w14:paraId="17F81332">
            <w:pPr>
              <w:pStyle w:val="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100" w:lineRule="exact"/>
              <w:ind w:left="556" w:right="0"/>
              <w:textAlignment w:val="bottom"/>
              <w:rPr>
                <w:rFonts w:hint="eastAsia"/>
                <w:color w:val="auto"/>
              </w:rPr>
            </w:pPr>
          </w:p>
          <w:p w14:paraId="71D32FC9">
            <w:pPr>
              <w:pStyle w:val="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100" w:lineRule="exact"/>
              <w:ind w:left="556" w:right="0"/>
              <w:textAlignment w:val="bottom"/>
              <w:rPr>
                <w:rFonts w:hint="eastAsia"/>
                <w:color w:val="auto"/>
              </w:rPr>
            </w:pPr>
          </w:p>
          <w:p w14:paraId="46D9C1F7">
            <w:pPr>
              <w:pStyle w:val="2"/>
              <w:keepNext w:val="0"/>
              <w:keepLines w:val="0"/>
              <w:suppressLineNumbers w:val="0"/>
              <w:spacing w:before="0" w:beforeAutospacing="0" w:after="0" w:afterAutospacing="0" w:line="240" w:lineRule="auto"/>
              <w:ind w:left="0" w:leftChars="0" w:right="0"/>
              <w:jc w:val="center"/>
              <w:rPr>
                <w:rFonts w:hint="default"/>
                <w:color w:val="auto"/>
              </w:rPr>
            </w:pPr>
            <w:r>
              <w:rPr>
                <w:rFonts w:hint="default"/>
                <w:color w:val="auto"/>
              </w:rPr>
              <w:drawing>
                <wp:inline distT="0" distB="0" distL="114300" distR="114300">
                  <wp:extent cx="4783455" cy="3491865"/>
                  <wp:effectExtent l="0" t="0" r="17145" b="13335"/>
                  <wp:docPr id="1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
                          <pic:cNvPicPr>
                            <a:picLocks noChangeAspect="1"/>
                          </pic:cNvPicPr>
                        </pic:nvPicPr>
                        <pic:blipFill>
                          <a:blip r:embed="rId8"/>
                          <a:stretch>
                            <a:fillRect/>
                          </a:stretch>
                        </pic:blipFill>
                        <pic:spPr>
                          <a:xfrm>
                            <a:off x="0" y="0"/>
                            <a:ext cx="4783455" cy="3491865"/>
                          </a:xfrm>
                          <a:prstGeom prst="rect">
                            <a:avLst/>
                          </a:prstGeom>
                          <a:noFill/>
                          <a:ln>
                            <a:noFill/>
                          </a:ln>
                        </pic:spPr>
                      </pic:pic>
                    </a:graphicData>
                  </a:graphic>
                </wp:inline>
              </w:drawing>
            </w:r>
          </w:p>
          <w:p w14:paraId="4A4C9CE5">
            <w:pPr>
              <w:pStyle w:val="2"/>
              <w:keepNext w:val="0"/>
              <w:keepLines w:val="0"/>
              <w:suppressLineNumbers w:val="0"/>
              <w:spacing w:before="0" w:beforeAutospacing="0" w:after="0" w:afterAutospacing="0" w:line="240" w:lineRule="exact"/>
              <w:ind w:right="0"/>
              <w:jc w:val="center"/>
              <w:rPr>
                <w:rFonts w:hint="default" w:cs="宋体"/>
                <w:b/>
                <w:bCs/>
                <w:color w:val="auto"/>
                <w:szCs w:val="21"/>
              </w:rPr>
            </w:pPr>
            <w:r>
              <w:rPr>
                <w:rFonts w:hint="default" w:eastAsia="黑体"/>
                <w:bCs/>
                <w:color w:val="auto"/>
                <w:sz w:val="30"/>
                <w:szCs w:val="30"/>
              </w:rPr>
              <mc:AlternateContent>
                <mc:Choice Requires="wps">
                  <w:drawing>
                    <wp:anchor distT="0" distB="0" distL="114300" distR="114300" simplePos="0" relativeHeight="251663360" behindDoc="0" locked="0" layoutInCell="1" allowOverlap="1">
                      <wp:simplePos x="0" y="0"/>
                      <wp:positionH relativeFrom="column">
                        <wp:posOffset>1661160</wp:posOffset>
                      </wp:positionH>
                      <wp:positionV relativeFrom="paragraph">
                        <wp:posOffset>0</wp:posOffset>
                      </wp:positionV>
                      <wp:extent cx="1899920" cy="204470"/>
                      <wp:effectExtent l="0" t="0" r="5080" b="508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99920" cy="204470"/>
                              </a:xfrm>
                              <a:prstGeom prst="rect">
                                <a:avLst/>
                              </a:prstGeom>
                              <a:noFill/>
                              <a:ln>
                                <a:noFill/>
                              </a:ln>
                            </wps:spPr>
                            <wps:txbx>
                              <w:txbxContent>
                                <w:p w14:paraId="17839E94">
                                  <w:pPr>
                                    <w:pStyle w:val="2"/>
                                    <w:rPr>
                                      <w:rFonts w:ascii="黑体" w:hAnsi="黑体" w:eastAsia="黑体" w:cs="黑体"/>
                                    </w:rPr>
                                  </w:pPr>
                                  <w:r>
                                    <w:rPr>
                                      <w:rFonts w:hint="eastAsia" w:ascii="黑体" w:hAnsi="黑体" w:eastAsia="黑体" w:cs="黑体"/>
                                    </w:rPr>
                                    <w:t>图</w:t>
                                  </w:r>
                                  <w:r>
                                    <w:rPr>
                                      <w:rFonts w:hint="eastAsia" w:ascii="黑体" w:hAnsi="黑体" w:eastAsia="黑体" w:cs="黑体"/>
                                      <w:lang w:val="en-US" w:eastAsia="zh-CN"/>
                                    </w:rPr>
                                    <w:t>2-</w:t>
                                  </w:r>
                                  <w:r>
                                    <w:rPr>
                                      <w:rFonts w:hint="eastAsia" w:eastAsia="黑体"/>
                                    </w:rPr>
                                    <w:t>2</w:t>
                                  </w:r>
                                  <w:r>
                                    <w:rPr>
                                      <w:rFonts w:hint="eastAsia" w:ascii="黑体" w:hAnsi="黑体" w:eastAsia="黑体" w:cs="黑体"/>
                                    </w:rPr>
                                    <w:t>：项目平面布置图</w:t>
                                  </w:r>
                                </w:p>
                                <w:p w14:paraId="510E1E74">
                                  <w:pPr>
                                    <w:rPr>
                                      <w:szCs w:val="18"/>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30.8pt;margin-top:0pt;height:16.1pt;width:149.6pt;z-index:251663360;mso-width-relative:page;mso-height-relative:page;" filled="f" stroked="f" coordsize="21600,21600" o:gfxdata="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aAaNtUAAAAHAQAADwAAAAAAAAABACAAAAAi&#10;AAAAZHJzL2Rvd25yZXYueG1sUEsBAhQAFAAAAAgAh07iQATbZcwNAgAABQQAAA4AAAAAAAAAAQAg&#10;AAAAJAEAAGRycy9lMm9Eb2MueG1sUEsFBgAAAAAGAAYAWQEAAKMFAAAAAA==&#10;">
                      <v:fill on="f" focussize="0,0"/>
                      <v:stroke on="f"/>
                      <v:imagedata o:title=""/>
                      <o:lock v:ext="edit" aspectratio="f"/>
                      <v:textbox inset="0mm,0mm,0mm,0mm">
                        <w:txbxContent>
                          <w:p w14:paraId="17839E94">
                            <w:pPr>
                              <w:pStyle w:val="2"/>
                              <w:rPr>
                                <w:rFonts w:ascii="黑体" w:hAnsi="黑体" w:eastAsia="黑体" w:cs="黑体"/>
                              </w:rPr>
                            </w:pPr>
                            <w:r>
                              <w:rPr>
                                <w:rFonts w:hint="eastAsia" w:ascii="黑体" w:hAnsi="黑体" w:eastAsia="黑体" w:cs="黑体"/>
                              </w:rPr>
                              <w:t>图</w:t>
                            </w:r>
                            <w:r>
                              <w:rPr>
                                <w:rFonts w:hint="eastAsia" w:ascii="黑体" w:hAnsi="黑体" w:eastAsia="黑体" w:cs="黑体"/>
                                <w:lang w:val="en-US" w:eastAsia="zh-CN"/>
                              </w:rPr>
                              <w:t>2-</w:t>
                            </w:r>
                            <w:r>
                              <w:rPr>
                                <w:rFonts w:hint="eastAsia" w:eastAsia="黑体"/>
                              </w:rPr>
                              <w:t>2</w:t>
                            </w:r>
                            <w:r>
                              <w:rPr>
                                <w:rFonts w:hint="eastAsia" w:ascii="黑体" w:hAnsi="黑体" w:eastAsia="黑体" w:cs="黑体"/>
                              </w:rPr>
                              <w:t>：项目平面布置图</w:t>
                            </w:r>
                          </w:p>
                          <w:p w14:paraId="510E1E74">
                            <w:pPr>
                              <w:rPr>
                                <w:szCs w:val="18"/>
                              </w:rPr>
                            </w:pPr>
                          </w:p>
                        </w:txbxContent>
                      </v:textbox>
                    </v:shape>
                  </w:pict>
                </mc:Fallback>
              </mc:AlternateContent>
            </w:r>
          </w:p>
        </w:tc>
      </w:tr>
      <w:tr w14:paraId="21DFDB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823" w:type="dxa"/>
            <w:tcBorders>
              <w:top w:val="single" w:color="auto" w:sz="4" w:space="0"/>
              <w:left w:val="single" w:color="auto" w:sz="8" w:space="0"/>
              <w:bottom w:val="single" w:color="auto" w:sz="4" w:space="0"/>
              <w:right w:val="single" w:color="auto" w:sz="4" w:space="0"/>
            </w:tcBorders>
            <w:vAlign w:val="center"/>
          </w:tcPr>
          <w:p w14:paraId="7B9398E2">
            <w:pPr>
              <w:pStyle w:val="12"/>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sz w:val="21"/>
                <w:szCs w:val="21"/>
              </w:rPr>
            </w:pPr>
          </w:p>
          <w:p w14:paraId="1795423B">
            <w:pPr>
              <w:pStyle w:val="12"/>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sz w:val="21"/>
                <w:szCs w:val="21"/>
              </w:rPr>
            </w:pPr>
          </w:p>
          <w:p w14:paraId="727568A3">
            <w:pPr>
              <w:pStyle w:val="12"/>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sz w:val="21"/>
                <w:szCs w:val="21"/>
              </w:rPr>
            </w:pPr>
          </w:p>
          <w:p w14:paraId="4B0D5D32">
            <w:pPr>
              <w:pStyle w:val="12"/>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sz w:val="21"/>
                <w:szCs w:val="21"/>
              </w:rPr>
            </w:pPr>
          </w:p>
          <w:p w14:paraId="316B4FE8">
            <w:pPr>
              <w:pStyle w:val="12"/>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sz w:val="21"/>
                <w:szCs w:val="21"/>
              </w:rPr>
            </w:pPr>
          </w:p>
          <w:p w14:paraId="1BA1A7CB">
            <w:pPr>
              <w:pStyle w:val="12"/>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sz w:val="21"/>
                <w:szCs w:val="21"/>
              </w:rPr>
            </w:pPr>
          </w:p>
          <w:p w14:paraId="1C091C91">
            <w:pPr>
              <w:pStyle w:val="12"/>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sz w:val="21"/>
                <w:szCs w:val="21"/>
              </w:rPr>
            </w:pPr>
          </w:p>
          <w:p w14:paraId="3D50A589">
            <w:pPr>
              <w:pStyle w:val="12"/>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sz w:val="21"/>
                <w:szCs w:val="21"/>
              </w:rPr>
            </w:pPr>
          </w:p>
          <w:p w14:paraId="7379AE83">
            <w:pPr>
              <w:pStyle w:val="12"/>
              <w:keepNext w:val="0"/>
              <w:keepLines w:val="0"/>
              <w:suppressLineNumbers w:val="0"/>
              <w:adjustRightInd w:val="0"/>
              <w:snapToGrid w:val="0"/>
              <w:spacing w:before="0" w:beforeAutospacing="0" w:after="0" w:afterAutospacing="0"/>
              <w:ind w:left="0" w:right="0"/>
              <w:jc w:val="center"/>
              <w:rPr>
                <w:rFonts w:hint="eastAsia" w:ascii="Times New Roman" w:hAnsi="Times New Roman" w:cs="宋体"/>
                <w:color w:val="auto"/>
                <w:sz w:val="21"/>
                <w:szCs w:val="21"/>
              </w:rPr>
            </w:pPr>
          </w:p>
          <w:p w14:paraId="4A702B5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工艺流程和产排污环节</w:t>
            </w:r>
          </w:p>
          <w:p w14:paraId="0FE0053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CD9A4D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1CEB7A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1C587C8">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15A38C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B93EA9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B84E68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B04DD2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E3EE5F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2ECBCB8">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C50E3C5">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D6BE65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75F1EF5">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4E0FE7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CA9ADD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14D7CC5">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389FB5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F18902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74A903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1FE729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D8A641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907888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53CAF4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E409B89">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5CAA73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BCC4FD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6844F8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B2EB79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67A7EA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6E39029">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79A77F5">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9A4DD3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C68CC7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EA0E245">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3257EA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77C846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C482639">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E91D9C8">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58AC038">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FAD6FE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053F78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工艺流程和产排污环节</w:t>
            </w:r>
          </w:p>
          <w:p w14:paraId="3AA9849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EADB37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3F82C3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BEACCF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557329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11B58A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310B3F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F4142D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1736DE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CD601F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6ED571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DCE9C99">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4769CB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961238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C63435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526EF9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FFF5A5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013214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FE47E6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92C782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246238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2E5106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5BA874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7D8A67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26ABFB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57E8B5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2C01F6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F1A32D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D5E440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E99E7D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C70494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2A5375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FA257F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F08877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D11692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C44D799">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8B5F52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3422DD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52A9B2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F9C5BD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FE166B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A02FA6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6863F08">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25CA9B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9C2786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2530AF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867D9C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D57152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0EED69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33E3C9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工艺流程和产排污环节</w:t>
            </w:r>
          </w:p>
          <w:p w14:paraId="001E5A4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173548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F3DFDB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5D4B1C58">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FBD99C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9086CF5">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A2B101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A36A7F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55E7FC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38B59C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136A49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768DDF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4F4EE2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C0F897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6D36DA7">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97CA58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7E0B608">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0BD680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5D46A35">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F86039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67C2A4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01A71B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5F1AE7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36E086C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8C94C45">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45914C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70C059C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6D95A8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9B84D6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21986FF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4B22D6F4">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6A3D1B79">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tc>
        <w:tc>
          <w:tcPr>
            <w:tcW w:w="8016" w:type="dxa"/>
            <w:tcBorders>
              <w:top w:val="single" w:color="auto" w:sz="4" w:space="0"/>
              <w:left w:val="single" w:color="auto" w:sz="4" w:space="0"/>
              <w:bottom w:val="single" w:color="auto" w:sz="4" w:space="0"/>
              <w:right w:val="single" w:color="auto" w:sz="8" w:space="0"/>
            </w:tcBorders>
          </w:tcPr>
          <w:p w14:paraId="6231AA56">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szCs w:val="21"/>
              </w:rPr>
            </w:pPr>
            <w:r>
              <w:rPr>
                <w:rFonts w:hint="eastAsia" w:eastAsia="黑体" w:cs="宋体"/>
                <w:color w:val="auto"/>
                <w:kern w:val="0"/>
                <w:szCs w:val="21"/>
              </w:rPr>
              <w:t>1</w:t>
            </w:r>
            <w:r>
              <w:rPr>
                <w:rFonts w:hint="default" w:eastAsia="黑体" w:cs="宋体"/>
                <w:color w:val="auto"/>
                <w:kern w:val="0"/>
                <w:szCs w:val="21"/>
              </w:rPr>
              <w:t>、</w:t>
            </w:r>
            <w:r>
              <w:rPr>
                <w:rFonts w:hint="eastAsia" w:eastAsia="黑体" w:cs="宋体"/>
                <w:color w:val="auto"/>
                <w:kern w:val="0"/>
                <w:szCs w:val="21"/>
              </w:rPr>
              <w:t>施工期工艺流程及产污环节</w:t>
            </w:r>
          </w:p>
          <w:p w14:paraId="63C35247">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w:t>
            </w:r>
            <w:r>
              <w:rPr>
                <w:rFonts w:hint="default" w:cs="宋体"/>
                <w:color w:val="auto"/>
                <w:kern w:val="0"/>
                <w:szCs w:val="21"/>
              </w:rPr>
              <w:t>1</w:t>
            </w:r>
            <w:r>
              <w:rPr>
                <w:rFonts w:hint="eastAsia" w:cs="宋体"/>
                <w:color w:val="auto"/>
                <w:kern w:val="0"/>
                <w:szCs w:val="21"/>
              </w:rPr>
              <w:t>）工艺流程</w:t>
            </w:r>
          </w:p>
          <w:p w14:paraId="71595301">
            <w:pPr>
              <w:keepNext w:val="0"/>
              <w:keepLines w:val="0"/>
              <w:suppressLineNumbers w:val="0"/>
              <w:spacing w:before="0" w:beforeAutospacing="0" w:after="0" w:afterAutospacing="0" w:line="400" w:lineRule="exact"/>
              <w:ind w:left="0" w:right="0" w:firstLine="420" w:firstLineChars="200"/>
              <w:jc w:val="left"/>
              <w:rPr>
                <w:rFonts w:hint="default"/>
                <w:color w:val="auto"/>
                <w:szCs w:val="21"/>
              </w:rPr>
            </w:pPr>
            <w:r>
              <w:rPr>
                <w:rFonts w:hint="default" w:ascii="宋体" w:hAnsi="宋体"/>
                <w:color w:val="auto"/>
                <w:kern w:val="0"/>
              </w:rPr>
              <w:t>本项目</w:t>
            </w:r>
            <w:r>
              <w:rPr>
                <w:rFonts w:hint="eastAsia" w:ascii="宋体" w:hAnsi="宋体"/>
                <w:color w:val="auto"/>
                <w:kern w:val="0"/>
              </w:rPr>
              <w:t>租用已建医疗服务用房进行建设</w:t>
            </w:r>
            <w:r>
              <w:rPr>
                <w:rFonts w:hint="default" w:ascii="宋体" w:hAnsi="宋体"/>
                <w:color w:val="auto"/>
                <w:kern w:val="0"/>
              </w:rPr>
              <w:t>，</w:t>
            </w:r>
            <w:r>
              <w:rPr>
                <w:rFonts w:hint="eastAsia" w:ascii="宋体" w:hAnsi="宋体"/>
                <w:color w:val="auto"/>
                <w:kern w:val="0"/>
              </w:rPr>
              <w:t>不涉及土建施工。</w:t>
            </w:r>
            <w:r>
              <w:rPr>
                <w:rFonts w:hint="default" w:cs="宋体"/>
                <w:color w:val="auto"/>
                <w:kern w:val="0"/>
                <w:szCs w:val="21"/>
              </w:rPr>
              <w:t>施工期主要为室内装修、设备安装、污水处理站施工等</w:t>
            </w:r>
            <w:r>
              <w:rPr>
                <w:rFonts w:hint="eastAsia" w:cs="宋体"/>
                <w:color w:val="auto"/>
                <w:kern w:val="0"/>
                <w:szCs w:val="21"/>
              </w:rPr>
              <w:t>。施工期的产污工艺流程及产污位置如下图。</w:t>
            </w:r>
          </w:p>
          <w:p w14:paraId="512BDE88">
            <w:pPr>
              <w:pStyle w:val="4"/>
              <w:keepNext w:val="0"/>
              <w:keepLines w:val="0"/>
              <w:suppressLineNumbers w:val="0"/>
              <w:spacing w:before="0" w:beforeAutospacing="0" w:after="0" w:afterAutospacing="0" w:line="240" w:lineRule="auto"/>
              <w:ind w:left="0" w:right="0"/>
              <w:jc w:val="center"/>
              <w:rPr>
                <w:rFonts w:hint="default"/>
                <w:color w:val="auto"/>
              </w:rPr>
            </w:pPr>
            <w:r>
              <w:rPr>
                <w:rFonts w:hint="eastAsia" w:cs="宋体"/>
                <w:color w:val="auto"/>
                <w:kern w:val="0"/>
                <w:szCs w:val="21"/>
              </w:rPr>
              <mc:AlternateContent>
                <mc:Choice Requires="wps">
                  <w:drawing>
                    <wp:anchor distT="0" distB="0" distL="114300" distR="114300" simplePos="0" relativeHeight="251711488" behindDoc="0" locked="0" layoutInCell="1" allowOverlap="1">
                      <wp:simplePos x="0" y="0"/>
                      <wp:positionH relativeFrom="column">
                        <wp:posOffset>1438910</wp:posOffset>
                      </wp:positionH>
                      <wp:positionV relativeFrom="paragraph">
                        <wp:posOffset>126365</wp:posOffset>
                      </wp:positionV>
                      <wp:extent cx="1016000" cy="412750"/>
                      <wp:effectExtent l="0" t="0" r="0" b="6350"/>
                      <wp:wrapNone/>
                      <wp:docPr id="462" name="文本框 462"/>
                      <wp:cNvGraphicFramePr/>
                      <a:graphic xmlns:a="http://schemas.openxmlformats.org/drawingml/2006/main">
                        <a:graphicData uri="http://schemas.microsoft.com/office/word/2010/wordprocessingShape">
                          <wps:wsp>
                            <wps:cNvSpPr txBox="1"/>
                            <wps:spPr>
                              <a:xfrm>
                                <a:off x="0" y="0"/>
                                <a:ext cx="10160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CEECA">
                                  <w:pPr>
                                    <w:spacing w:line="240" w:lineRule="exact"/>
                                    <w:jc w:val="center"/>
                                    <w:rPr>
                                      <w:sz w:val="18"/>
                                    </w:rPr>
                                  </w:pPr>
                                  <w:r>
                                    <w:rPr>
                                      <w:rFonts w:hint="eastAsia"/>
                                      <w:sz w:val="18"/>
                                    </w:rPr>
                                    <w:t>废气、废水、噪声、固废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3pt;margin-top:9.95pt;height:32.5pt;width:80pt;z-index:251711488;mso-width-relative:page;mso-height-relative:page;" filled="f" stroked="f" coordsize="21600,21600" o:gfxdata="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nho4TaAAAACQEAAA8AAAAAAAAAAQAgAAAA&#10;IgAAAGRycy9kb3ducmV2LnhtbFBLAQIUABQAAAAIAIdO4kDxO7dSQgIAAHgEAAAOAAAAAAAAAAEA&#10;IAAAACkBAABkcnMvZTJvRG9jLnhtbFBLBQYAAAAABgAGAFkBAADdBQAAAAA=&#10;">
                      <v:fill on="f" focussize="0,0"/>
                      <v:stroke on="f" weight="0.5pt"/>
                      <v:imagedata o:title=""/>
                      <o:lock v:ext="edit" aspectratio="f"/>
                      <v:textbox>
                        <w:txbxContent>
                          <w:p w14:paraId="28ECEECA">
                            <w:pPr>
                              <w:spacing w:line="240" w:lineRule="exact"/>
                              <w:jc w:val="center"/>
                              <w:rPr>
                                <w:sz w:val="18"/>
                              </w:rPr>
                            </w:pPr>
                            <w:r>
                              <w:rPr>
                                <w:rFonts w:hint="eastAsia"/>
                                <w:sz w:val="18"/>
                              </w:rPr>
                              <w:t>废气、废水、噪声、固废</w:t>
                            </w:r>
                          </w:p>
                        </w:txbxContent>
                      </v:textbox>
                    </v:shape>
                  </w:pict>
                </mc:Fallback>
              </mc:AlternateContent>
            </w:r>
            <w:r>
              <w:rPr>
                <w:rFonts w:hint="eastAsia" w:cs="宋体"/>
                <w:color w:val="auto"/>
                <w:kern w:val="0"/>
                <w:szCs w:val="21"/>
              </w:rPr>
              <mc:AlternateContent>
                <mc:Choice Requires="wps">
                  <w:drawing>
                    <wp:anchor distT="0" distB="0" distL="114300" distR="114300" simplePos="0" relativeHeight="251710464" behindDoc="0" locked="0" layoutInCell="1" allowOverlap="1">
                      <wp:simplePos x="0" y="0"/>
                      <wp:positionH relativeFrom="column">
                        <wp:posOffset>207010</wp:posOffset>
                      </wp:positionH>
                      <wp:positionV relativeFrom="paragraph">
                        <wp:posOffset>88265</wp:posOffset>
                      </wp:positionV>
                      <wp:extent cx="1016000" cy="412750"/>
                      <wp:effectExtent l="0" t="0" r="0" b="6350"/>
                      <wp:wrapNone/>
                      <wp:docPr id="461" name="文本框 461"/>
                      <wp:cNvGraphicFramePr/>
                      <a:graphic xmlns:a="http://schemas.openxmlformats.org/drawingml/2006/main">
                        <a:graphicData uri="http://schemas.microsoft.com/office/word/2010/wordprocessingShape">
                          <wps:wsp>
                            <wps:cNvSpPr txBox="1"/>
                            <wps:spPr>
                              <a:xfrm>
                                <a:off x="0" y="0"/>
                                <a:ext cx="10160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B04C73">
                                  <w:pPr>
                                    <w:spacing w:line="240" w:lineRule="exact"/>
                                    <w:jc w:val="center"/>
                                    <w:rPr>
                                      <w:sz w:val="18"/>
                                    </w:rPr>
                                  </w:pPr>
                                  <w:r>
                                    <w:rPr>
                                      <w:rFonts w:hint="eastAsia"/>
                                      <w:sz w:val="18"/>
                                    </w:rPr>
                                    <w:t>废气、废水、噪声、固废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pt;margin-top:6.95pt;height:32.5pt;width:80pt;z-index:251710464;mso-width-relative:page;mso-height-relative:page;" filled="f" stroked="f" coordsize="21600,21600" o:gfxdata="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46Z0G2AAAAAgBAAAPAAAAAAAAAAEAIAAAACIA&#10;AABkcnMvZG93bnJldi54bWxQSwECFAAUAAAACACHTuJAhk3QmkICAAB4BAAADgAAAAAAAAABACAA&#10;AAAnAQAAZHJzL2Uyb0RvYy54bWxQSwUGAAAAAAYABgBZAQAA2wUAAAAA&#10;">
                      <v:fill on="f" focussize="0,0"/>
                      <v:stroke on="f" weight="0.5pt"/>
                      <v:imagedata o:title=""/>
                      <o:lock v:ext="edit" aspectratio="f"/>
                      <v:textbox>
                        <w:txbxContent>
                          <w:p w14:paraId="2AB04C73">
                            <w:pPr>
                              <w:spacing w:line="240" w:lineRule="exact"/>
                              <w:jc w:val="center"/>
                              <w:rPr>
                                <w:sz w:val="18"/>
                              </w:rPr>
                            </w:pPr>
                            <w:r>
                              <w:rPr>
                                <w:rFonts w:hint="eastAsia"/>
                                <w:sz w:val="18"/>
                              </w:rPr>
                              <w:t>废气、废水、噪声、固废</w:t>
                            </w:r>
                          </w:p>
                        </w:txbxContent>
                      </v:textbox>
                    </v:shape>
                  </w:pict>
                </mc:Fallback>
              </mc:AlternateContent>
            </w:r>
          </w:p>
          <w:p w14:paraId="07366D39">
            <w:pPr>
              <w:pStyle w:val="4"/>
              <w:keepNext w:val="0"/>
              <w:keepLines w:val="0"/>
              <w:suppressLineNumbers w:val="0"/>
              <w:spacing w:before="0" w:beforeAutospacing="0" w:after="0" w:afterAutospacing="0"/>
              <w:ind w:right="0"/>
              <w:rPr>
                <w:rFonts w:hint="default"/>
                <w:color w:val="auto"/>
              </w:rPr>
            </w:pPr>
            <w:r>
              <w:rPr>
                <w:rFonts w:hint="eastAsia" w:cs="宋体"/>
                <w:color w:val="auto"/>
                <w:kern w:val="0"/>
                <w:szCs w:val="21"/>
              </w:rPr>
              <mc:AlternateContent>
                <mc:Choice Requires="wps">
                  <w:drawing>
                    <wp:anchor distT="0" distB="0" distL="114300" distR="114300" simplePos="0" relativeHeight="251711488" behindDoc="0" locked="0" layoutInCell="1" allowOverlap="1">
                      <wp:simplePos x="0" y="0"/>
                      <wp:positionH relativeFrom="column">
                        <wp:posOffset>2600960</wp:posOffset>
                      </wp:positionH>
                      <wp:positionV relativeFrom="paragraph">
                        <wp:posOffset>67945</wp:posOffset>
                      </wp:positionV>
                      <wp:extent cx="1016000" cy="260350"/>
                      <wp:effectExtent l="0" t="0" r="0" b="6350"/>
                      <wp:wrapNone/>
                      <wp:docPr id="463" name="文本框 463"/>
                      <wp:cNvGraphicFramePr/>
                      <a:graphic xmlns:a="http://schemas.openxmlformats.org/drawingml/2006/main">
                        <a:graphicData uri="http://schemas.microsoft.com/office/word/2010/wordprocessingShape">
                          <wps:wsp>
                            <wps:cNvSpPr txBox="1"/>
                            <wps:spPr>
                              <a:xfrm>
                                <a:off x="0" y="0"/>
                                <a:ext cx="10160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4413E">
                                  <w:pPr>
                                    <w:spacing w:line="240" w:lineRule="exact"/>
                                    <w:jc w:val="center"/>
                                    <w:rPr>
                                      <w:sz w:val="18"/>
                                    </w:rPr>
                                  </w:pPr>
                                  <w:r>
                                    <w:rPr>
                                      <w:rFonts w:hint="eastAsia"/>
                                      <w:sz w:val="18"/>
                                    </w:rPr>
                                    <w:t>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8pt;margin-top:5.35pt;height:20.5pt;width:80pt;z-index:251711488;mso-width-relative:page;mso-height-relative:page;" filled="f" stroked="f" coordsize="21600,21600" o:gfxdata="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if+FraAAAACQEAAA8AAAAAAAAAAQAgAAAA&#10;IgAAAGRycy9kb3ducmV2LnhtbFBLAQIUABQAAAAIAIdO4kD6HZZhQgIAAHgEAAAOAAAAAAAAAAEA&#10;IAAAACkBAABkcnMvZTJvRG9jLnhtbFBLBQYAAAAABgAGAFkBAADdBQAAAAA=&#10;">
                      <v:fill on="f" focussize="0,0"/>
                      <v:stroke on="f" weight="0.5pt"/>
                      <v:imagedata o:title=""/>
                      <o:lock v:ext="edit" aspectratio="f"/>
                      <v:textbox>
                        <w:txbxContent>
                          <w:p w14:paraId="2D34413E">
                            <w:pPr>
                              <w:spacing w:line="240" w:lineRule="exact"/>
                              <w:jc w:val="center"/>
                              <w:rPr>
                                <w:sz w:val="18"/>
                              </w:rPr>
                            </w:pPr>
                            <w:r>
                              <w:rPr>
                                <w:rFonts w:hint="eastAsia"/>
                                <w:sz w:val="18"/>
                              </w:rPr>
                              <w:t>噪声、固废</w:t>
                            </w:r>
                          </w:p>
                        </w:txbxContent>
                      </v:textbox>
                    </v:shape>
                  </w:pict>
                </mc:Fallback>
              </mc:AlternateContent>
            </w:r>
            <w:r>
              <w:rPr>
                <w:rFonts w:hint="eastAsia" w:cs="宋体"/>
                <w:color w:val="auto"/>
                <w:kern w:val="0"/>
                <w:szCs w:val="21"/>
              </w:rPr>
              <mc:AlternateContent>
                <mc:Choice Requires="wps">
                  <w:drawing>
                    <wp:anchor distT="0" distB="0" distL="114300" distR="114300" simplePos="0" relativeHeight="251709440" behindDoc="0" locked="0" layoutInCell="1" allowOverlap="1">
                      <wp:simplePos x="0" y="0"/>
                      <wp:positionH relativeFrom="column">
                        <wp:posOffset>3121660</wp:posOffset>
                      </wp:positionH>
                      <wp:positionV relativeFrom="paragraph">
                        <wp:posOffset>259715</wp:posOffset>
                      </wp:positionV>
                      <wp:extent cx="0" cy="222250"/>
                      <wp:effectExtent l="76200" t="38100" r="57150" b="25400"/>
                      <wp:wrapNone/>
                      <wp:docPr id="460" name="直接箭头连接符 460"/>
                      <wp:cNvGraphicFramePr/>
                      <a:graphic xmlns:a="http://schemas.openxmlformats.org/drawingml/2006/main">
                        <a:graphicData uri="http://schemas.microsoft.com/office/word/2010/wordprocessingShape">
                          <wps:wsp>
                            <wps:cNvCnPr/>
                            <wps:spPr>
                              <a:xfrm flipV="1">
                                <a:off x="0" y="0"/>
                                <a:ext cx="0" cy="2222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5.8pt;margin-top:20.45pt;height:17.5pt;width:0pt;z-index:251709440;mso-width-relative:page;mso-height-relative:page;" filled="f" stroked="t" coordsize="21600,21600" o:gfxdata="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Wza6XXAAAACQEAAA8AAAAA&#10;AAAAAQAgAAAAIgAAAGRycy9kb3ducmV2LnhtbFBLAQIUABQAAAAIAIdO4kAer04lFQIAABMEAAAO&#10;AAAAAAAAAAEAIAAAACYBAABkcnMvZTJvRG9jLnhtbFBLBQYAAAAABgAGAFkBAACtBQAAAAA=&#10;">
                      <v:fill on="f" focussize="0,0"/>
                      <v:stroke color="#000000 [3213]" joinstyle="round" endarrow="block"/>
                      <v:imagedata o:title=""/>
                      <o:lock v:ext="edit" aspectratio="f"/>
                    </v:shape>
                  </w:pict>
                </mc:Fallback>
              </mc:AlternateContent>
            </w:r>
            <w:r>
              <w:rPr>
                <w:rFonts w:hint="eastAsia" w:cs="宋体"/>
                <w:color w:val="auto"/>
                <w:kern w:val="0"/>
                <w:szCs w:val="21"/>
              </w:rPr>
              <mc:AlternateContent>
                <mc:Choice Requires="wps">
                  <w:drawing>
                    <wp:anchor distT="0" distB="0" distL="114300" distR="114300" simplePos="0" relativeHeight="251708416" behindDoc="0" locked="0" layoutInCell="1" allowOverlap="1">
                      <wp:simplePos x="0" y="0"/>
                      <wp:positionH relativeFrom="column">
                        <wp:posOffset>1940560</wp:posOffset>
                      </wp:positionH>
                      <wp:positionV relativeFrom="paragraph">
                        <wp:posOffset>259715</wp:posOffset>
                      </wp:positionV>
                      <wp:extent cx="0" cy="222250"/>
                      <wp:effectExtent l="76200" t="38100" r="57150" b="25400"/>
                      <wp:wrapNone/>
                      <wp:docPr id="459" name="直接箭头连接符 459"/>
                      <wp:cNvGraphicFramePr/>
                      <a:graphic xmlns:a="http://schemas.openxmlformats.org/drawingml/2006/main">
                        <a:graphicData uri="http://schemas.microsoft.com/office/word/2010/wordprocessingShape">
                          <wps:wsp>
                            <wps:cNvCnPr/>
                            <wps:spPr>
                              <a:xfrm flipV="1">
                                <a:off x="0" y="0"/>
                                <a:ext cx="0" cy="2222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2.8pt;margin-top:20.45pt;height:17.5pt;width:0pt;z-index:251708416;mso-width-relative:page;mso-height-relative:page;" filled="f" stroked="t" coordsize="21600,21600" o:gfxdata="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yT3ytgAAAAJAQAADwAA&#10;AAAAAAABACAAAAAiAAAAZHJzL2Rvd25yZXYueG1sUEsBAhQAFAAAAAgAh07iQLzEwdkWAgAAEwQA&#10;AA4AAAAAAAAAAQAgAAAAJwEAAGRycy9lMm9Eb2MueG1sUEsFBgAAAAAGAAYAWQEAAK8FAAAAAA==&#10;">
                      <v:fill on="f" focussize="0,0"/>
                      <v:stroke color="#000000 [3213]" joinstyle="round" endarrow="block"/>
                      <v:imagedata o:title=""/>
                      <o:lock v:ext="edit" aspectratio="f"/>
                    </v:shape>
                  </w:pict>
                </mc:Fallback>
              </mc:AlternateContent>
            </w:r>
            <w:r>
              <w:rPr>
                <w:rFonts w:hint="eastAsia" w:cs="宋体"/>
                <w:color w:val="auto"/>
                <w:kern w:val="0"/>
                <w:szCs w:val="21"/>
              </w:rPr>
              <mc:AlternateContent>
                <mc:Choice Requires="wps">
                  <w:drawing>
                    <wp:anchor distT="0" distB="0" distL="114300" distR="114300" simplePos="0" relativeHeight="251707392" behindDoc="0" locked="0" layoutInCell="1" allowOverlap="1">
                      <wp:simplePos x="0" y="0"/>
                      <wp:positionH relativeFrom="column">
                        <wp:posOffset>702310</wp:posOffset>
                      </wp:positionH>
                      <wp:positionV relativeFrom="paragraph">
                        <wp:posOffset>259715</wp:posOffset>
                      </wp:positionV>
                      <wp:extent cx="0" cy="222250"/>
                      <wp:effectExtent l="76200" t="38100" r="57150" b="25400"/>
                      <wp:wrapNone/>
                      <wp:docPr id="458" name="直接箭头连接符 458"/>
                      <wp:cNvGraphicFramePr/>
                      <a:graphic xmlns:a="http://schemas.openxmlformats.org/drawingml/2006/main">
                        <a:graphicData uri="http://schemas.microsoft.com/office/word/2010/wordprocessingShape">
                          <wps:wsp>
                            <wps:cNvCnPr/>
                            <wps:spPr>
                              <a:xfrm flipV="1">
                                <a:off x="0" y="0"/>
                                <a:ext cx="0" cy="2222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55.3pt;margin-top:20.45pt;height:17.5pt;width:0pt;z-index:251707392;mso-width-relative:page;mso-height-relative:page;" filled="f" stroked="t" coordsize="21600,21600" o:gfxdata="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Q8NTvXAAAACQEAAA8AAAAA&#10;AAAAAQAgAAAAIgAAAGRycy9kb3ducmV2LnhtbFBLAQIUABQAAAAIAIdO4kCm201XFQIAABMEAAAO&#10;AAAAAAAAAAEAIAAAACYBAABkcnMvZTJvRG9jLnhtbFBLBQYAAAAABgAGAFkBAACtBQAAAAA=&#10;">
                      <v:fill on="f" focussize="0,0"/>
                      <v:stroke color="#000000 [3213]" joinstyle="round" endarrow="block"/>
                      <v:imagedata o:title=""/>
                      <o:lock v:ext="edit" aspectratio="f"/>
                    </v:shape>
                  </w:pict>
                </mc:Fallback>
              </mc:AlternateContent>
            </w:r>
          </w:p>
          <w:p w14:paraId="1BBA1B38">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mc:AlternateContent>
                <mc:Choice Requires="wps">
                  <w:drawing>
                    <wp:anchor distT="0" distB="0" distL="114300" distR="114300" simplePos="0" relativeHeight="251706368" behindDoc="0" locked="0" layoutInCell="1" allowOverlap="1">
                      <wp:simplePos x="0" y="0"/>
                      <wp:positionH relativeFrom="column">
                        <wp:posOffset>3896360</wp:posOffset>
                      </wp:positionH>
                      <wp:positionV relativeFrom="paragraph">
                        <wp:posOffset>177165</wp:posOffset>
                      </wp:positionV>
                      <wp:extent cx="768350" cy="311150"/>
                      <wp:effectExtent l="0" t="0" r="12700" b="12700"/>
                      <wp:wrapNone/>
                      <wp:docPr id="457" name="文本框 457"/>
                      <wp:cNvGraphicFramePr/>
                      <a:graphic xmlns:a="http://schemas.openxmlformats.org/drawingml/2006/main">
                        <a:graphicData uri="http://schemas.microsoft.com/office/word/2010/wordprocessingShape">
                          <wps:wsp>
                            <wps:cNvSpPr txBox="1"/>
                            <wps:spPr>
                              <a:xfrm>
                                <a:off x="0" y="0"/>
                                <a:ext cx="768350" cy="31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F62758">
                                  <w:pPr>
                                    <w:spacing w:line="300" w:lineRule="exact"/>
                                    <w:jc w:val="center"/>
                                  </w:pPr>
                                  <w:r>
                                    <w:rPr>
                                      <w:rFonts w:hint="eastAsia"/>
                                    </w:rPr>
                                    <w:t>投入使用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8pt;margin-top:13.95pt;height:24.5pt;width:60.5pt;z-index:251706368;mso-width-relative:page;mso-height-relative:page;" fillcolor="#FFFFFF [3201]" filled="t" stroked="t" coordsize="21600,21600" o:gfxdata="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7NNUHW&#10;AAAACQEAAA8AAAAAAAAAAQAgAAAAIgAAAGRycy9kb3ducmV2LnhtbFBLAQIUABQAAAAIAIdO4kCc&#10;0fzrWwIAAMgEAAAOAAAAAAAAAAEAIAAAACUBAABkcnMvZTJvRG9jLnhtbFBLBQYAAAAABgAGAFkB&#10;AADyBQAAAAA=&#10;">
                      <v:fill on="t" focussize="0,0"/>
                      <v:stroke weight="0.5pt" color="#000000 [3204]" joinstyle="round"/>
                      <v:imagedata o:title=""/>
                      <o:lock v:ext="edit" aspectratio="f"/>
                      <v:textbox>
                        <w:txbxContent>
                          <w:p w14:paraId="28F62758">
                            <w:pPr>
                              <w:spacing w:line="300" w:lineRule="exact"/>
                              <w:jc w:val="center"/>
                            </w:pPr>
                            <w:r>
                              <w:rPr>
                                <w:rFonts w:hint="eastAsia"/>
                              </w:rPr>
                              <w:t>投入使用</w:t>
                            </w:r>
                          </w:p>
                        </w:txbxContent>
                      </v:textbox>
                    </v:shape>
                  </w:pict>
                </mc:Fallback>
              </mc:AlternateContent>
            </w:r>
            <w:r>
              <w:rPr>
                <w:rFonts w:hint="eastAsia" w:cs="宋体"/>
                <w:color w:val="auto"/>
                <w:kern w:val="0"/>
                <w:szCs w:val="21"/>
              </w:rPr>
              <mc:AlternateContent>
                <mc:Choice Requires="wps">
                  <w:drawing>
                    <wp:anchor distT="0" distB="0" distL="114300" distR="114300" simplePos="0" relativeHeight="251704320" behindDoc="0" locked="0" layoutInCell="1" allowOverlap="1">
                      <wp:simplePos x="0" y="0"/>
                      <wp:positionH relativeFrom="column">
                        <wp:posOffset>2727960</wp:posOffset>
                      </wp:positionH>
                      <wp:positionV relativeFrom="paragraph">
                        <wp:posOffset>177165</wp:posOffset>
                      </wp:positionV>
                      <wp:extent cx="768350" cy="311150"/>
                      <wp:effectExtent l="0" t="0" r="12700" b="12700"/>
                      <wp:wrapNone/>
                      <wp:docPr id="455" name="文本框 455"/>
                      <wp:cNvGraphicFramePr/>
                      <a:graphic xmlns:a="http://schemas.openxmlformats.org/drawingml/2006/main">
                        <a:graphicData uri="http://schemas.microsoft.com/office/word/2010/wordprocessingShape">
                          <wps:wsp>
                            <wps:cNvSpPr txBox="1"/>
                            <wps:spPr>
                              <a:xfrm>
                                <a:off x="0" y="0"/>
                                <a:ext cx="768350" cy="31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7DD6C0">
                                  <w:pPr>
                                    <w:spacing w:line="300" w:lineRule="exact"/>
                                    <w:jc w:val="center"/>
                                  </w:pPr>
                                  <w:r>
                                    <w:rPr>
                                      <w:rFonts w:hint="eastAsia"/>
                                    </w:rPr>
                                    <w:t>设备安装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8pt;margin-top:13.95pt;height:24.5pt;width:60.5pt;z-index:251704320;mso-width-relative:page;mso-height-relative:page;" fillcolor="#FFFFFF [3201]" filled="t" stroked="t" coordsize="21600,21600" o:gfxdata="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KS&#10;UXzXAAAACQEAAA8AAAAAAAAAAQAgAAAAIgAAAGRycy9kb3ducmV2LnhtbFBLAQIUABQAAAAIAIdO&#10;4kDDXrChXQIAAMgEAAAOAAAAAAAAAAEAIAAAACYBAABkcnMvZTJvRG9jLnhtbFBLBQYAAAAABgAG&#10;AFkBAAD1BQAAAAA=&#10;">
                      <v:fill on="t" focussize="0,0"/>
                      <v:stroke weight="0.5pt" color="#000000 [3204]" joinstyle="round"/>
                      <v:imagedata o:title=""/>
                      <o:lock v:ext="edit" aspectratio="f"/>
                      <v:textbox>
                        <w:txbxContent>
                          <w:p w14:paraId="5E7DD6C0">
                            <w:pPr>
                              <w:spacing w:line="300" w:lineRule="exact"/>
                              <w:jc w:val="center"/>
                            </w:pPr>
                            <w:r>
                              <w:rPr>
                                <w:rFonts w:hint="eastAsia"/>
                              </w:rPr>
                              <w:t>设备安装</w:t>
                            </w:r>
                          </w:p>
                        </w:txbxContent>
                      </v:textbox>
                    </v:shape>
                  </w:pict>
                </mc:Fallback>
              </mc:AlternateContent>
            </w:r>
            <w:r>
              <w:rPr>
                <w:rFonts w:hint="eastAsia" w:cs="宋体"/>
                <w:color w:val="auto"/>
                <w:kern w:val="0"/>
                <w:szCs w:val="21"/>
              </w:rPr>
              <mc:AlternateContent>
                <mc:Choice Requires="wps">
                  <w:drawing>
                    <wp:anchor distT="0" distB="0" distL="114300" distR="114300" simplePos="0" relativeHeight="251702272" behindDoc="0" locked="0" layoutInCell="1" allowOverlap="1">
                      <wp:simplePos x="0" y="0"/>
                      <wp:positionH relativeFrom="column">
                        <wp:posOffset>1559560</wp:posOffset>
                      </wp:positionH>
                      <wp:positionV relativeFrom="paragraph">
                        <wp:posOffset>177165</wp:posOffset>
                      </wp:positionV>
                      <wp:extent cx="768350" cy="311150"/>
                      <wp:effectExtent l="0" t="0" r="12700" b="12700"/>
                      <wp:wrapNone/>
                      <wp:docPr id="453" name="文本框 453"/>
                      <wp:cNvGraphicFramePr/>
                      <a:graphic xmlns:a="http://schemas.openxmlformats.org/drawingml/2006/main">
                        <a:graphicData uri="http://schemas.microsoft.com/office/word/2010/wordprocessingShape">
                          <wps:wsp>
                            <wps:cNvSpPr txBox="1"/>
                            <wps:spPr>
                              <a:xfrm>
                                <a:off x="0" y="0"/>
                                <a:ext cx="768350" cy="31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A48AA1">
                                  <w:pPr>
                                    <w:spacing w:line="300" w:lineRule="exact"/>
                                    <w:jc w:val="center"/>
                                  </w:pPr>
                                  <w:r>
                                    <w:rPr>
                                      <w:rFonts w:hint="eastAsia"/>
                                    </w:rPr>
                                    <w:t>室内装修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8pt;margin-top:13.95pt;height:24.5pt;width:60.5pt;z-index:251702272;mso-width-relative:page;mso-height-relative:page;" fillcolor="#FFFFFF [3201]" filled="t" stroked="t" coordsize="21600,21600" o:gfxdata="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CUp&#10;3dYAAAAJAQAADwAAAAAAAAABACAAAAAiAAAAZHJzL2Rvd25yZXYueG1sUEsBAhQAFAAAAAgAh07i&#10;QCLPZX9dAgAAyAQAAA4AAAAAAAAAAQAgAAAAJQEAAGRycy9lMm9Eb2MueG1sUEsFBgAAAAAGAAYA&#10;WQEAAPQFAAAAAA==&#10;">
                      <v:fill on="t" focussize="0,0"/>
                      <v:stroke weight="0.5pt" color="#000000 [3204]" joinstyle="round"/>
                      <v:imagedata o:title=""/>
                      <o:lock v:ext="edit" aspectratio="f"/>
                      <v:textbox>
                        <w:txbxContent>
                          <w:p w14:paraId="20A48AA1">
                            <w:pPr>
                              <w:spacing w:line="300" w:lineRule="exact"/>
                              <w:jc w:val="center"/>
                            </w:pPr>
                            <w:r>
                              <w:rPr>
                                <w:rFonts w:hint="eastAsia"/>
                              </w:rPr>
                              <w:t>室内装修</w:t>
                            </w:r>
                          </w:p>
                        </w:txbxContent>
                      </v:textbox>
                    </v:shape>
                  </w:pict>
                </mc:Fallback>
              </mc:AlternateContent>
            </w:r>
            <w:r>
              <w:rPr>
                <w:rFonts w:hint="eastAsia" w:cs="宋体"/>
                <w:color w:val="auto"/>
                <w:kern w:val="0"/>
                <w:szCs w:val="21"/>
              </w:rPr>
              <mc:AlternateContent>
                <mc:Choice Requires="wps">
                  <w:drawing>
                    <wp:anchor distT="0" distB="0" distL="114300" distR="114300" simplePos="0" relativeHeight="251700224" behindDoc="0" locked="0" layoutInCell="1" allowOverlap="1">
                      <wp:simplePos x="0" y="0"/>
                      <wp:positionH relativeFrom="column">
                        <wp:posOffset>276860</wp:posOffset>
                      </wp:positionH>
                      <wp:positionV relativeFrom="paragraph">
                        <wp:posOffset>177165</wp:posOffset>
                      </wp:positionV>
                      <wp:extent cx="914400" cy="311150"/>
                      <wp:effectExtent l="0" t="0" r="19050" b="12700"/>
                      <wp:wrapNone/>
                      <wp:docPr id="449" name="文本框 449"/>
                      <wp:cNvGraphicFramePr/>
                      <a:graphic xmlns:a="http://schemas.openxmlformats.org/drawingml/2006/main">
                        <a:graphicData uri="http://schemas.microsoft.com/office/word/2010/wordprocessingShape">
                          <wps:wsp>
                            <wps:cNvSpPr txBox="1"/>
                            <wps:spPr>
                              <a:xfrm>
                                <a:off x="0" y="0"/>
                                <a:ext cx="914400" cy="31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6F6AFF">
                                  <w:pPr>
                                    <w:spacing w:line="300" w:lineRule="exact"/>
                                    <w:jc w:val="center"/>
                                  </w:pPr>
                                  <w:r>
                                    <w:rPr>
                                      <w:rFonts w:hint="eastAsia"/>
                                    </w:rPr>
                                    <w:t>污水站施工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pt;margin-top:13.95pt;height:24.5pt;width:72pt;z-index:251700224;mso-width-relative:page;mso-height-relative:page;" fillcolor="#FFFFFF [3201]" filled="t" stroked="t" coordsize="21600,21600" o:gfxdata="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o6&#10;DoTVAAAACAEAAA8AAAAAAAAAAQAgAAAAIgAAAGRycy9kb3ducmV2LnhtbFBLAQIUABQAAAAIAIdO&#10;4kBtZocAXwIAAMgEAAAOAAAAAAAAAAEAIAAAACQBAABkcnMvZTJvRG9jLnhtbFBLBQYAAAAABgAG&#10;AFkBAAD1BQAAAAA=&#10;">
                      <v:fill on="t" focussize="0,0"/>
                      <v:stroke weight="0.5pt" color="#000000 [3204]" joinstyle="round"/>
                      <v:imagedata o:title=""/>
                      <o:lock v:ext="edit" aspectratio="f"/>
                      <v:textbox>
                        <w:txbxContent>
                          <w:p w14:paraId="236F6AFF">
                            <w:pPr>
                              <w:spacing w:line="300" w:lineRule="exact"/>
                              <w:jc w:val="center"/>
                            </w:pPr>
                            <w:r>
                              <w:rPr>
                                <w:rFonts w:hint="eastAsia"/>
                              </w:rPr>
                              <w:t>污水站施工</w:t>
                            </w:r>
                          </w:p>
                        </w:txbxContent>
                      </v:textbox>
                    </v:shape>
                  </w:pict>
                </mc:Fallback>
              </mc:AlternateContent>
            </w:r>
          </w:p>
          <w:p w14:paraId="37F91191">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mc:AlternateContent>
                <mc:Choice Requires="wps">
                  <w:drawing>
                    <wp:anchor distT="0" distB="0" distL="114300" distR="114300" simplePos="0" relativeHeight="251705344" behindDoc="0" locked="0" layoutInCell="1" allowOverlap="1">
                      <wp:simplePos x="0" y="0"/>
                      <wp:positionH relativeFrom="column">
                        <wp:posOffset>3496310</wp:posOffset>
                      </wp:positionH>
                      <wp:positionV relativeFrom="paragraph">
                        <wp:posOffset>69215</wp:posOffset>
                      </wp:positionV>
                      <wp:extent cx="400050" cy="0"/>
                      <wp:effectExtent l="0" t="76200" r="19050" b="95250"/>
                      <wp:wrapNone/>
                      <wp:docPr id="456" name="直接箭头连接符 456"/>
                      <wp:cNvGraphicFramePr/>
                      <a:graphic xmlns:a="http://schemas.openxmlformats.org/drawingml/2006/main">
                        <a:graphicData uri="http://schemas.microsoft.com/office/word/2010/wordprocessingShape">
                          <wps:wsp>
                            <wps:cNvCnPr/>
                            <wps:spPr>
                              <a:xfrm>
                                <a:off x="0" y="0"/>
                                <a:ext cx="40005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75.3pt;margin-top:5.45pt;height:0pt;width:31.5pt;z-index:251705344;mso-width-relative:page;mso-height-relative:page;" filled="f" stroked="t" coordsize="21600,21600" o:gfxdata="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XT0Yz1wAAAAkBAAAPAAAAAAAAAAEA&#10;IAAAACIAAABkcnMvZG93bnJldi54bWxQSwECFAAUAAAACACHTuJA8jAoGRACAAAJBAAADgAAAAAA&#10;AAABACAAAAAmAQAAZHJzL2Uyb0RvYy54bWxQSwUGAAAAAAYABgBZAQAAqAUAAAAA&#10;">
                      <v:fill on="f" focussize="0,0"/>
                      <v:stroke color="#000000 [3213]" joinstyle="round" endarrow="block"/>
                      <v:imagedata o:title=""/>
                      <o:lock v:ext="edit" aspectratio="f"/>
                    </v:shape>
                  </w:pict>
                </mc:Fallback>
              </mc:AlternateContent>
            </w:r>
            <w:r>
              <w:rPr>
                <w:rFonts w:hint="eastAsia" w:cs="宋体"/>
                <w:color w:val="auto"/>
                <w:kern w:val="0"/>
                <w:szCs w:val="21"/>
              </w:rPr>
              <mc:AlternateContent>
                <mc:Choice Requires="wps">
                  <w:drawing>
                    <wp:anchor distT="0" distB="0" distL="114300" distR="114300" simplePos="0" relativeHeight="251703296" behindDoc="0" locked="0" layoutInCell="1" allowOverlap="1">
                      <wp:simplePos x="0" y="0"/>
                      <wp:positionH relativeFrom="column">
                        <wp:posOffset>2327910</wp:posOffset>
                      </wp:positionH>
                      <wp:positionV relativeFrom="paragraph">
                        <wp:posOffset>69215</wp:posOffset>
                      </wp:positionV>
                      <wp:extent cx="400050" cy="0"/>
                      <wp:effectExtent l="0" t="76200" r="19050" b="95250"/>
                      <wp:wrapNone/>
                      <wp:docPr id="454" name="直接箭头连接符 454"/>
                      <wp:cNvGraphicFramePr/>
                      <a:graphic xmlns:a="http://schemas.openxmlformats.org/drawingml/2006/main">
                        <a:graphicData uri="http://schemas.microsoft.com/office/word/2010/wordprocessingShape">
                          <wps:wsp>
                            <wps:cNvCnPr/>
                            <wps:spPr>
                              <a:xfrm>
                                <a:off x="0" y="0"/>
                                <a:ext cx="40005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3.3pt;margin-top:5.45pt;height:0pt;width:31.5pt;z-index:251703296;mso-width-relative:page;mso-height-relative:page;" filled="f" stroked="t" coordsize="21600,21600" o:gfxdata="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5nOCz1wAAAAkBAAAPAAAAAAAAAAEA&#10;IAAAACIAAABkcnMvZG93bnJldi54bWxQSwECFAAUAAAACACHTuJAS4eemRACAAAJBAAADgAAAAAA&#10;AAABACAAAAAmAQAAZHJzL2Uyb0RvYy54bWxQSwUGAAAAAAYABgBZAQAAqAUAAAAA&#10;">
                      <v:fill on="f" focussize="0,0"/>
                      <v:stroke color="#000000 [3213]" joinstyle="round" endarrow="block"/>
                      <v:imagedata o:title=""/>
                      <o:lock v:ext="edit" aspectratio="f"/>
                    </v:shape>
                  </w:pict>
                </mc:Fallback>
              </mc:AlternateContent>
            </w:r>
            <w:r>
              <w:rPr>
                <w:rFonts w:hint="eastAsia" w:cs="宋体"/>
                <w:color w:val="auto"/>
                <w:kern w:val="0"/>
                <w:szCs w:val="21"/>
              </w:rPr>
              <mc:AlternateContent>
                <mc:Choice Requires="wps">
                  <w:drawing>
                    <wp:anchor distT="0" distB="0" distL="114300" distR="114300" simplePos="0" relativeHeight="251701248" behindDoc="0" locked="0" layoutInCell="1" allowOverlap="1">
                      <wp:simplePos x="0" y="0"/>
                      <wp:positionH relativeFrom="column">
                        <wp:posOffset>1191260</wp:posOffset>
                      </wp:positionH>
                      <wp:positionV relativeFrom="paragraph">
                        <wp:posOffset>69215</wp:posOffset>
                      </wp:positionV>
                      <wp:extent cx="368300" cy="0"/>
                      <wp:effectExtent l="0" t="76200" r="12700" b="95250"/>
                      <wp:wrapNone/>
                      <wp:docPr id="452" name="直接箭头连接符 452"/>
                      <wp:cNvGraphicFramePr/>
                      <a:graphic xmlns:a="http://schemas.openxmlformats.org/drawingml/2006/main">
                        <a:graphicData uri="http://schemas.microsoft.com/office/word/2010/wordprocessingShape">
                          <wps:wsp>
                            <wps:cNvCnPr/>
                            <wps:spPr>
                              <a:xfrm>
                                <a:off x="0" y="0"/>
                                <a:ext cx="36830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93.8pt;margin-top:5.45pt;height:0pt;width:29pt;z-index:251701248;mso-width-relative:page;mso-height-relative:page;" filled="f" stroked="t" coordsize="21600,21600" o:gfxdata="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7q7VC2AAAAAkBAAAPAAAAAAAA&#10;AAEAIAAAACIAAABkcnMvZG93bnJldi54bWxQSwECFAAUAAAACACHTuJA2Z6kNxICAAAJBAAADgAA&#10;AAAAAAABACAAAAAnAQAAZHJzL2Uyb0RvYy54bWxQSwUGAAAAAAYABgBZAQAAqwUAAAAA&#10;">
                      <v:fill on="f" focussize="0,0"/>
                      <v:stroke color="#000000 [3213]" joinstyle="round" endarrow="block"/>
                      <v:imagedata o:title=""/>
                      <o:lock v:ext="edit" aspectratio="f"/>
                    </v:shape>
                  </w:pict>
                </mc:Fallback>
              </mc:AlternateContent>
            </w:r>
          </w:p>
          <w:p w14:paraId="67D72252">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default"/>
                <w:color w:val="auto"/>
                <w:szCs w:val="28"/>
              </w:rPr>
              <mc:AlternateContent>
                <mc:Choice Requires="wps">
                  <w:drawing>
                    <wp:anchor distT="0" distB="0" distL="114300" distR="114300" simplePos="0" relativeHeight="251661312" behindDoc="0" locked="0" layoutInCell="1" allowOverlap="1">
                      <wp:simplePos x="0" y="0"/>
                      <wp:positionH relativeFrom="column">
                        <wp:posOffset>890905</wp:posOffset>
                      </wp:positionH>
                      <wp:positionV relativeFrom="paragraph">
                        <wp:posOffset>33655</wp:posOffset>
                      </wp:positionV>
                      <wp:extent cx="2924175" cy="316230"/>
                      <wp:effectExtent l="0" t="0" r="0" b="7620"/>
                      <wp:wrapNone/>
                      <wp:docPr id="450" name="矩形 450"/>
                      <wp:cNvGraphicFramePr/>
                      <a:graphic xmlns:a="http://schemas.openxmlformats.org/drawingml/2006/main">
                        <a:graphicData uri="http://schemas.microsoft.com/office/word/2010/wordprocessingShape">
                          <wps:wsp>
                            <wps:cNvSpPr>
                              <a:spLocks noChangeArrowheads="1"/>
                            </wps:cNvSpPr>
                            <wps:spPr bwMode="auto">
                              <a:xfrm>
                                <a:off x="0" y="0"/>
                                <a:ext cx="2924175" cy="316230"/>
                              </a:xfrm>
                              <a:prstGeom prst="rect">
                                <a:avLst/>
                              </a:prstGeom>
                              <a:noFill/>
                              <a:ln>
                                <a:noFill/>
                              </a:ln>
                              <a:effectLst/>
                            </wps:spPr>
                            <wps:txbx>
                              <w:txbxContent>
                                <w:p w14:paraId="19346A59">
                                  <w:pPr>
                                    <w:jc w:val="center"/>
                                    <w:rPr>
                                      <w:rFonts w:ascii="黑体" w:eastAsia="黑体"/>
                                      <w:spacing w:val="-16"/>
                                      <w:sz w:val="19"/>
                                      <w:szCs w:val="21"/>
                                    </w:rPr>
                                  </w:pPr>
                                  <w:r>
                                    <w:rPr>
                                      <w:rFonts w:eastAsia="黑体"/>
                                      <w:sz w:val="19"/>
                                      <w:szCs w:val="21"/>
                                    </w:rPr>
                                    <w:t>图</w:t>
                                  </w:r>
                                  <w:r>
                                    <w:rPr>
                                      <w:rFonts w:hint="eastAsia" w:eastAsia="黑体"/>
                                      <w:sz w:val="19"/>
                                      <w:szCs w:val="21"/>
                                      <w:lang w:val="en-US" w:eastAsia="zh-CN"/>
                                    </w:rPr>
                                    <w:t>2-</w:t>
                                  </w:r>
                                  <w:r>
                                    <w:rPr>
                                      <w:rFonts w:hint="eastAsia" w:eastAsia="黑体"/>
                                      <w:sz w:val="19"/>
                                      <w:szCs w:val="21"/>
                                    </w:rPr>
                                    <w:t>3：</w:t>
                                  </w:r>
                                  <w:r>
                                    <w:rPr>
                                      <w:rFonts w:hint="eastAsia" w:ascii="黑体" w:eastAsia="黑体"/>
                                      <w:sz w:val="19"/>
                                      <w:szCs w:val="21"/>
                                    </w:rPr>
                                    <w:t>施工期工艺流程及产污环节示意图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0.15pt;margin-top:2.65pt;height:24.9pt;width:230.25pt;z-index:251661312;mso-width-relative:page;mso-height-relative:page;" filled="f" stroked="f" coordsize="21600,21600" o:gfxdata="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2SrVf1wAAAAgBAAAPAAAAAAAA&#10;AAEAIAAAACIAAABkcnMvZG93bnJldi54bWxQSwECFAAUAAAACACHTuJAXBxdVBMCAAAaBAAADgAA&#10;AAAAAAABACAAAAAmAQAAZHJzL2Uyb0RvYy54bWxQSwUGAAAAAAYABgBZAQAAqwUAAAAA&#10;">
                      <v:fill on="f" focussize="0,0"/>
                      <v:stroke on="f"/>
                      <v:imagedata o:title=""/>
                      <o:lock v:ext="edit" aspectratio="f"/>
                      <v:textbox>
                        <w:txbxContent>
                          <w:p w14:paraId="19346A59">
                            <w:pPr>
                              <w:jc w:val="center"/>
                              <w:rPr>
                                <w:rFonts w:ascii="黑体" w:eastAsia="黑体"/>
                                <w:spacing w:val="-16"/>
                                <w:sz w:val="19"/>
                                <w:szCs w:val="21"/>
                              </w:rPr>
                            </w:pPr>
                            <w:r>
                              <w:rPr>
                                <w:rFonts w:eastAsia="黑体"/>
                                <w:sz w:val="19"/>
                                <w:szCs w:val="21"/>
                              </w:rPr>
                              <w:t>图</w:t>
                            </w:r>
                            <w:r>
                              <w:rPr>
                                <w:rFonts w:hint="eastAsia" w:eastAsia="黑体"/>
                                <w:sz w:val="19"/>
                                <w:szCs w:val="21"/>
                                <w:lang w:val="en-US" w:eastAsia="zh-CN"/>
                              </w:rPr>
                              <w:t>2-</w:t>
                            </w:r>
                            <w:r>
                              <w:rPr>
                                <w:rFonts w:hint="eastAsia" w:eastAsia="黑体"/>
                                <w:sz w:val="19"/>
                                <w:szCs w:val="21"/>
                              </w:rPr>
                              <w:t>3：</w:t>
                            </w:r>
                            <w:r>
                              <w:rPr>
                                <w:rFonts w:hint="eastAsia" w:ascii="黑体" w:eastAsia="黑体"/>
                                <w:sz w:val="19"/>
                                <w:szCs w:val="21"/>
                              </w:rPr>
                              <w:t>施工期工艺流程及产污环节示意图</w:t>
                            </w:r>
                          </w:p>
                        </w:txbxContent>
                      </v:textbox>
                    </v:rect>
                  </w:pict>
                </mc:Fallback>
              </mc:AlternateContent>
            </w:r>
          </w:p>
          <w:p w14:paraId="467E1DF4">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w:t>
            </w:r>
            <w:r>
              <w:rPr>
                <w:rFonts w:hint="default" w:cs="宋体"/>
                <w:color w:val="auto"/>
                <w:kern w:val="0"/>
                <w:szCs w:val="21"/>
              </w:rPr>
              <w:t>2</w:t>
            </w:r>
            <w:r>
              <w:rPr>
                <w:rFonts w:hint="eastAsia" w:cs="宋体"/>
                <w:color w:val="auto"/>
                <w:kern w:val="0"/>
                <w:szCs w:val="21"/>
              </w:rPr>
              <w:t>）产污环节</w:t>
            </w:r>
          </w:p>
          <w:p w14:paraId="4777368E">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废气：主要为污水站施工时的施工扬尘、室内装修异味及少量的材料装卸的粉尘。</w:t>
            </w:r>
          </w:p>
          <w:p w14:paraId="61B79471">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废水：主要为少量的施工设备清洗废水、施工人员的生活污水。</w:t>
            </w:r>
          </w:p>
          <w:p w14:paraId="242BD334">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噪声：主要为室内装修作业产生的设备噪声。</w:t>
            </w:r>
          </w:p>
          <w:p w14:paraId="76809298">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eastAsia="黑体" w:cs="宋体"/>
                <w:color w:val="auto"/>
                <w:kern w:val="0"/>
                <w:szCs w:val="21"/>
              </w:rPr>
            </w:pPr>
            <w:r>
              <w:rPr>
                <w:rFonts w:hint="eastAsia" w:cs="宋体"/>
                <w:color w:val="auto"/>
                <w:kern w:val="0"/>
                <w:szCs w:val="21"/>
              </w:rPr>
              <w:t>固体废物：主要为污水站土建施工的建筑垃圾、装修时的废弃建材、设备安装时的废包装材料。</w:t>
            </w:r>
          </w:p>
          <w:p w14:paraId="20BB2C64">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szCs w:val="21"/>
              </w:rPr>
            </w:pPr>
            <w:r>
              <w:rPr>
                <w:rFonts w:hint="eastAsia" w:eastAsia="黑体" w:cs="宋体"/>
                <w:color w:val="auto"/>
                <w:kern w:val="0"/>
                <w:szCs w:val="21"/>
              </w:rPr>
              <w:t>2</w:t>
            </w:r>
            <w:r>
              <w:rPr>
                <w:rFonts w:hint="default" w:eastAsia="黑体" w:cs="宋体"/>
                <w:color w:val="auto"/>
                <w:kern w:val="0"/>
                <w:szCs w:val="21"/>
              </w:rPr>
              <w:t>、营运期工艺流程</w:t>
            </w:r>
          </w:p>
          <w:p w14:paraId="661F47F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0" w:lineRule="exact"/>
              <w:ind w:left="0" w:right="0" w:firstLine="422" w:firstLineChars="200"/>
              <w:jc w:val="left"/>
              <w:textAlignment w:val="auto"/>
              <w:rPr>
                <w:rFonts w:hint="default" w:eastAsia="宋体" w:cs="宋体"/>
                <w:b/>
                <w:bCs/>
                <w:color w:val="auto"/>
                <w:kern w:val="0"/>
                <w:szCs w:val="21"/>
                <w:lang w:val="en-US" w:eastAsia="zh-CN"/>
              </w:rPr>
            </w:pPr>
            <w:r>
              <w:rPr>
                <w:rFonts w:hint="eastAsia" w:cs="宋体"/>
                <w:b/>
                <w:bCs/>
                <w:color w:val="auto"/>
                <w:kern w:val="0"/>
                <w:szCs w:val="21"/>
                <w:lang w:eastAsia="zh-CN"/>
              </w:rPr>
              <w:t>（</w:t>
            </w:r>
            <w:r>
              <w:rPr>
                <w:rFonts w:hint="eastAsia" w:cs="宋体"/>
                <w:b/>
                <w:bCs/>
                <w:color w:val="auto"/>
                <w:kern w:val="0"/>
                <w:szCs w:val="21"/>
                <w:lang w:val="en-US" w:eastAsia="zh-CN"/>
              </w:rPr>
              <w:t>1</w:t>
            </w:r>
            <w:r>
              <w:rPr>
                <w:rFonts w:hint="eastAsia" w:cs="宋体"/>
                <w:b/>
                <w:bCs/>
                <w:color w:val="auto"/>
                <w:kern w:val="0"/>
                <w:szCs w:val="21"/>
                <w:lang w:eastAsia="zh-CN"/>
              </w:rPr>
              <w:t>）</w:t>
            </w:r>
            <w:r>
              <w:rPr>
                <w:rFonts w:hint="eastAsia" w:cs="宋体"/>
                <w:b/>
                <w:bCs/>
                <w:color w:val="auto"/>
                <w:kern w:val="0"/>
                <w:szCs w:val="21"/>
                <w:lang w:val="en-US" w:eastAsia="zh-CN"/>
              </w:rPr>
              <w:t>血透患者就诊工艺流程</w:t>
            </w:r>
          </w:p>
          <w:p w14:paraId="5F216614">
            <w:pPr>
              <w:keepNext w:val="0"/>
              <w:keepLines w:val="0"/>
              <w:pageBreakBefore w:val="0"/>
              <w:widowControl w:val="0"/>
              <w:suppressLineNumbers w:val="0"/>
              <w:kinsoku/>
              <w:wordWrap/>
              <w:overflowPunct/>
              <w:topLinePunct w:val="0"/>
              <w:autoSpaceDE w:val="0"/>
              <w:autoSpaceDN w:val="0"/>
              <w:bidi w:val="0"/>
              <w:adjustRightInd w:val="0"/>
              <w:snapToGrid w:val="0"/>
              <w:spacing w:before="120" w:beforeLines="50" w:beforeAutospacing="0" w:after="0" w:afterAutospacing="0" w:line="240" w:lineRule="auto"/>
              <w:ind w:left="0" w:right="0" w:firstLine="0" w:firstLineChars="0"/>
              <w:jc w:val="center"/>
              <w:textAlignment w:val="auto"/>
              <w:rPr>
                <w:rFonts w:hint="eastAsia" w:eastAsia="宋体" w:cs="宋体"/>
                <w:color w:val="auto"/>
                <w:kern w:val="0"/>
                <w:szCs w:val="21"/>
                <w:lang w:eastAsia="zh-CN"/>
              </w:rPr>
            </w:pPr>
            <w:r>
              <w:rPr>
                <w:rFonts w:hint="default"/>
                <w:color w:val="auto"/>
              </w:rPr>
              <w:pict>
                <v:shape id="_x0000_s1071" o:spid="_x0000_s1071" o:spt="136" type="#_x0000_t136" style="position:absolute;left:0pt;margin-left:314.55pt;margin-top:92.2pt;height:9pt;width:66.9pt;z-index:251712512;mso-width-relative:page;mso-height-relative:page;" fillcolor="#000000" filled="t" stroked="t" coordsize="21600,21600" adj="10800">
                  <v:path/>
                  <v:fill on="t" color2="#FFFFFF" focussize="0,0"/>
                  <v:stroke color="#000000"/>
                  <v:imagedata o:title=""/>
                  <o:lock v:ext="edit" aspectratio="f"/>
                  <v:textpath on="t" fitshape="t" fitpath="t" trim="t" xscale="f" string="罗江污水处理厂" style="font-family:Times New Roman;font-size:8pt;v-text-align:center;"/>
                </v:shape>
              </w:pict>
            </w:r>
            <w:r>
              <w:rPr>
                <w:rFonts w:hint="eastAsia" w:eastAsia="宋体" w:cs="宋体"/>
                <w:color w:val="auto"/>
                <w:kern w:val="0"/>
                <w:szCs w:val="21"/>
                <w:lang w:eastAsia="zh-CN"/>
              </w:rPr>
              <w:drawing>
                <wp:inline distT="0" distB="0" distL="114300" distR="114300">
                  <wp:extent cx="4948555" cy="2794000"/>
                  <wp:effectExtent l="0" t="0" r="4445" b="6350"/>
                  <wp:docPr id="34" name="图片 3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1"/>
                          <pic:cNvPicPr>
                            <a:picLocks noChangeAspect="1"/>
                          </pic:cNvPicPr>
                        </pic:nvPicPr>
                        <pic:blipFill>
                          <a:blip r:embed="rId9"/>
                          <a:stretch>
                            <a:fillRect/>
                          </a:stretch>
                        </pic:blipFill>
                        <pic:spPr>
                          <a:xfrm>
                            <a:off x="0" y="0"/>
                            <a:ext cx="4948555" cy="2794000"/>
                          </a:xfrm>
                          <a:prstGeom prst="rect">
                            <a:avLst/>
                          </a:prstGeom>
                        </pic:spPr>
                      </pic:pic>
                    </a:graphicData>
                  </a:graphic>
                </wp:inline>
              </w:drawing>
            </w:r>
          </w:p>
          <w:p w14:paraId="5DECFA0D">
            <w:pPr>
              <w:keepNext w:val="0"/>
              <w:keepLines w:val="0"/>
              <w:suppressLineNumbers w:val="0"/>
              <w:autoSpaceDE w:val="0"/>
              <w:autoSpaceDN w:val="0"/>
              <w:adjustRightInd w:val="0"/>
              <w:snapToGrid w:val="0"/>
              <w:spacing w:before="0" w:beforeAutospacing="0" w:after="0" w:afterAutospacing="0" w:line="400" w:lineRule="exact"/>
              <w:ind w:left="0" w:right="0" w:firstLine="560" w:firstLineChars="200"/>
              <w:jc w:val="left"/>
              <w:rPr>
                <w:rFonts w:hint="eastAsia" w:cs="宋体"/>
                <w:color w:val="auto"/>
                <w:kern w:val="0"/>
                <w:szCs w:val="21"/>
                <w:lang w:val="en-US" w:eastAsia="zh-CN"/>
              </w:rPr>
            </w:pPr>
            <w:r>
              <w:rPr>
                <w:rFonts w:hint="default"/>
                <w:color w:val="auto"/>
                <w:sz w:val="28"/>
                <w:szCs w:val="28"/>
              </w:rPr>
              <mc:AlternateContent>
                <mc:Choice Requires="wps">
                  <w:drawing>
                    <wp:anchor distT="0" distB="0" distL="114300" distR="114300" simplePos="0" relativeHeight="251710464" behindDoc="0" locked="0" layoutInCell="1" allowOverlap="1">
                      <wp:simplePos x="0" y="0"/>
                      <wp:positionH relativeFrom="column">
                        <wp:posOffset>-62230</wp:posOffset>
                      </wp:positionH>
                      <wp:positionV relativeFrom="paragraph">
                        <wp:posOffset>6350</wp:posOffset>
                      </wp:positionV>
                      <wp:extent cx="5061585" cy="316230"/>
                      <wp:effectExtent l="0" t="0" r="0" b="0"/>
                      <wp:wrapNone/>
                      <wp:docPr id="36" name="矩形 36"/>
                      <wp:cNvGraphicFramePr/>
                      <a:graphic xmlns:a="http://schemas.openxmlformats.org/drawingml/2006/main">
                        <a:graphicData uri="http://schemas.microsoft.com/office/word/2010/wordprocessingShape">
                          <wps:wsp>
                            <wps:cNvSpPr>
                              <a:spLocks noChangeArrowheads="1"/>
                            </wps:cNvSpPr>
                            <wps:spPr bwMode="auto">
                              <a:xfrm>
                                <a:off x="0" y="0"/>
                                <a:ext cx="5061585" cy="316230"/>
                              </a:xfrm>
                              <a:prstGeom prst="rect">
                                <a:avLst/>
                              </a:prstGeom>
                              <a:noFill/>
                              <a:ln>
                                <a:noFill/>
                              </a:ln>
                              <a:effectLst/>
                            </wps:spPr>
                            <wps:txbx>
                              <w:txbxContent>
                                <w:p w14:paraId="03ECEF98">
                                  <w:pPr>
                                    <w:jc w:val="center"/>
                                    <w:rPr>
                                      <w:rFonts w:ascii="黑体" w:eastAsia="黑体"/>
                                      <w:spacing w:val="-16"/>
                                      <w:szCs w:val="21"/>
                                    </w:rPr>
                                  </w:pPr>
                                  <w:r>
                                    <w:rPr>
                                      <w:rFonts w:eastAsia="黑体"/>
                                      <w:szCs w:val="21"/>
                                    </w:rPr>
                                    <w:t>图</w:t>
                                  </w:r>
                                  <w:r>
                                    <w:rPr>
                                      <w:rFonts w:hint="eastAsia" w:eastAsia="黑体"/>
                                      <w:szCs w:val="21"/>
                                      <w:lang w:val="en-US" w:eastAsia="zh-CN"/>
                                    </w:rPr>
                                    <w:t>2-</w:t>
                                  </w:r>
                                  <w:r>
                                    <w:rPr>
                                      <w:rFonts w:hint="eastAsia" w:eastAsia="黑体"/>
                                      <w:szCs w:val="21"/>
                                    </w:rPr>
                                    <w:t>4：</w:t>
                                  </w:r>
                                  <w:r>
                                    <w:rPr>
                                      <w:rFonts w:hint="eastAsia" w:ascii="黑体" w:eastAsia="黑体"/>
                                      <w:szCs w:val="21"/>
                                      <w:lang w:val="en-US" w:eastAsia="zh-CN"/>
                                    </w:rPr>
                                    <w:t>血透患者就诊</w:t>
                                  </w:r>
                                  <w:r>
                                    <w:rPr>
                                      <w:rFonts w:hint="eastAsia" w:ascii="黑体" w:eastAsia="黑体"/>
                                      <w:szCs w:val="21"/>
                                    </w:rPr>
                                    <w:t>工艺流程及产污环节示意图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9pt;margin-top:0.5pt;height:24.9pt;width:398.55pt;z-index:251710464;mso-width-relative:page;mso-height-relative:page;" filled="f" stroked="f" coordsize="21600,21600" o:gfxdata="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InT122AAAAAcBAAAPAAAAAAAA&#10;AAEAIAAAACIAAABkcnMvZG93bnJldi54bWxQSwECFAAUAAAACACHTuJA0yeIEhICAAAYBAAADgAA&#10;AAAAAAABACAAAAAnAQAAZHJzL2Uyb0RvYy54bWxQSwUGAAAAAAYABgBZAQAAqwUAAAAA&#10;">
                      <v:fill on="f" focussize="0,0"/>
                      <v:stroke on="f"/>
                      <v:imagedata o:title=""/>
                      <o:lock v:ext="edit" aspectratio="f"/>
                      <v:textbox>
                        <w:txbxContent>
                          <w:p w14:paraId="03ECEF98">
                            <w:pPr>
                              <w:jc w:val="center"/>
                              <w:rPr>
                                <w:rFonts w:ascii="黑体" w:eastAsia="黑体"/>
                                <w:spacing w:val="-16"/>
                                <w:szCs w:val="21"/>
                              </w:rPr>
                            </w:pPr>
                            <w:r>
                              <w:rPr>
                                <w:rFonts w:eastAsia="黑体"/>
                                <w:szCs w:val="21"/>
                              </w:rPr>
                              <w:t>图</w:t>
                            </w:r>
                            <w:r>
                              <w:rPr>
                                <w:rFonts w:hint="eastAsia" w:eastAsia="黑体"/>
                                <w:szCs w:val="21"/>
                                <w:lang w:val="en-US" w:eastAsia="zh-CN"/>
                              </w:rPr>
                              <w:t>2-</w:t>
                            </w:r>
                            <w:r>
                              <w:rPr>
                                <w:rFonts w:hint="eastAsia" w:eastAsia="黑体"/>
                                <w:szCs w:val="21"/>
                              </w:rPr>
                              <w:t>4：</w:t>
                            </w:r>
                            <w:r>
                              <w:rPr>
                                <w:rFonts w:hint="eastAsia" w:ascii="黑体" w:eastAsia="黑体"/>
                                <w:szCs w:val="21"/>
                                <w:lang w:val="en-US" w:eastAsia="zh-CN"/>
                              </w:rPr>
                              <w:t>血透患者就诊</w:t>
                            </w:r>
                            <w:r>
                              <w:rPr>
                                <w:rFonts w:hint="eastAsia" w:ascii="黑体" w:eastAsia="黑体"/>
                                <w:szCs w:val="21"/>
                              </w:rPr>
                              <w:t>工艺流程及产污环节示意图</w:t>
                            </w:r>
                          </w:p>
                        </w:txbxContent>
                      </v:textbox>
                    </v:rect>
                  </w:pict>
                </mc:Fallback>
              </mc:AlternateContent>
            </w:r>
          </w:p>
          <w:p w14:paraId="511E2BCA">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eastAsia="宋体" w:cs="宋体"/>
                <w:color w:val="auto"/>
                <w:kern w:val="0"/>
                <w:szCs w:val="21"/>
                <w:lang w:val="en-US" w:eastAsia="zh-CN"/>
              </w:rPr>
            </w:pPr>
            <w:r>
              <w:rPr>
                <w:rFonts w:hint="eastAsia" w:cs="宋体"/>
                <w:color w:val="auto"/>
                <w:kern w:val="0"/>
                <w:szCs w:val="21"/>
                <w:lang w:val="en-US" w:eastAsia="zh-CN"/>
              </w:rPr>
              <w:t>工艺流程简述：</w:t>
            </w:r>
          </w:p>
          <w:p w14:paraId="7A8C67F5">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s="宋体"/>
                <w:color w:val="auto"/>
                <w:kern w:val="0"/>
                <w:szCs w:val="21"/>
              </w:rPr>
            </w:pPr>
            <w:r>
              <w:rPr>
                <w:rFonts w:hint="eastAsia" w:cs="宋体"/>
                <w:color w:val="auto"/>
                <w:kern w:val="0"/>
                <w:szCs w:val="21"/>
                <w:lang w:val="en-US" w:eastAsia="zh-CN"/>
              </w:rPr>
              <w:t>①</w:t>
            </w:r>
            <w:r>
              <w:rPr>
                <w:rFonts w:hint="eastAsia" w:cs="宋体"/>
                <w:color w:val="auto"/>
                <w:kern w:val="0"/>
                <w:szCs w:val="21"/>
              </w:rPr>
              <w:t>对所有在本透析中心初次透析治疗的患者应进行相关检查，医师根据已确诊肾病患者检验报告进行病情评估，由接诊室医生进一步诊断肾功能不全的类型后提出治疗方案。</w:t>
            </w:r>
          </w:p>
          <w:p w14:paraId="49574556">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s="宋体"/>
                <w:color w:val="auto"/>
                <w:kern w:val="0"/>
                <w:szCs w:val="21"/>
              </w:rPr>
            </w:pPr>
            <w:r>
              <w:rPr>
                <w:rFonts w:hint="eastAsia" w:cs="宋体"/>
                <w:color w:val="auto"/>
                <w:kern w:val="0"/>
                <w:szCs w:val="21"/>
                <w:lang w:val="en-US" w:eastAsia="zh-CN"/>
              </w:rPr>
              <w:t>②</w:t>
            </w:r>
            <w:r>
              <w:rPr>
                <w:rFonts w:hint="eastAsia" w:cs="宋体"/>
                <w:color w:val="auto"/>
                <w:kern w:val="0"/>
                <w:szCs w:val="21"/>
              </w:rPr>
              <w:t>经医师评估可进行透析治疗的患者开始接受血液透析，肾透析设备采用一人一机的治疗模式，各种注射、穿刺、采血等有创操作的医疗器具采用一次性耗材。患者进行血液透析治疗时，限制非工作人员进入血液透析治疗区。</w:t>
            </w:r>
          </w:p>
          <w:p w14:paraId="2AF7CAD4">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s="宋体"/>
                <w:color w:val="auto"/>
                <w:kern w:val="0"/>
                <w:szCs w:val="21"/>
              </w:rPr>
            </w:pPr>
            <w:r>
              <w:rPr>
                <w:rFonts w:hint="eastAsia" w:cs="宋体"/>
                <w:color w:val="auto"/>
                <w:kern w:val="0"/>
                <w:szCs w:val="21"/>
                <w:lang w:val="en-US" w:eastAsia="zh-CN"/>
              </w:rPr>
              <w:t>③</w:t>
            </w:r>
            <w:r>
              <w:rPr>
                <w:rFonts w:hint="eastAsia" w:cs="宋体"/>
                <w:color w:val="auto"/>
                <w:kern w:val="0"/>
                <w:szCs w:val="21"/>
              </w:rPr>
              <w:t>患者透析开始时，将患者的血液血管通过导入动脉管道到达透析设备，血液和透析液借助于透析设备内的反渗透膜进行交换,交换后的透析液作为医疗废水进入污水处理站进行处理，而被“净化”后的血液经过静脉管道重新输入患者体内，全过程无血液流失。</w:t>
            </w:r>
          </w:p>
          <w:p w14:paraId="4877E2B3">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eastAsia" w:cs="宋体"/>
                <w:color w:val="auto"/>
                <w:kern w:val="0"/>
                <w:szCs w:val="21"/>
              </w:rPr>
            </w:pPr>
            <w:r>
              <w:rPr>
                <w:rFonts w:hint="eastAsia" w:cs="宋体"/>
                <w:b/>
                <w:bCs/>
                <w:color w:val="auto"/>
                <w:kern w:val="0"/>
                <w:szCs w:val="21"/>
              </w:rPr>
              <w:t>透析原理:</w:t>
            </w:r>
            <w:r>
              <w:rPr>
                <w:rFonts w:hint="eastAsia" w:cs="宋体"/>
                <w:color w:val="auto"/>
                <w:kern w:val="0"/>
                <w:szCs w:val="21"/>
              </w:rPr>
              <w:t>透析(dialysis)是利用小分子经过半透膜扩散到水(或缓冲液)的原理，将小分子与生物大分子分开的一种分离纯化技术。透析疗法是使体液内的成分(溶质或水分)通过半透膜排出体外的治疗方法。血液透析(hemodialysis，HD)简称血透，通俗的说法也称之为人工肾、洗肾，是一种较安全、易行、应用广泛的血液净化方法之一。其利用半透膜原理，通过扩散、对流、吸附将体内各种有害以及多余的代谢废物和过多的电解质移出体外,达到净化血液的目的，并达到纠正水电解质及酸碱平衡的目的。通过血液与透析液之间的溶液弥散和超滤来达到治疗目的。因此透析过程也就是溶质进行弥散和滤过的过程。血液透析包括溶质的移动和水的移动，即血液和透析液在透析器(人工肾)内借半透膜接触和浓度梯度进行物质交换，使血液中的代谢废物和过多的电解质向透析液移动，透析液中的钙离子、碱基等向血液中移动。从而清除患者血液中的代谢废物和毒物;调整水和电解质平衡;调整酸碱平衡。具有人体肾脏的部分功能(但不能替代肾脏的内分泌和新陈代谢功能)。</w:t>
            </w:r>
          </w:p>
          <w:p w14:paraId="1E41666A">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s="宋体"/>
                <w:color w:val="auto"/>
                <w:kern w:val="0"/>
                <w:szCs w:val="21"/>
              </w:rPr>
            </w:pPr>
            <w:r>
              <w:rPr>
                <w:rFonts w:hint="eastAsia" w:cs="宋体"/>
                <w:color w:val="auto"/>
                <w:kern w:val="0"/>
                <w:szCs w:val="21"/>
                <w:lang w:val="en-US" w:eastAsia="zh-CN"/>
              </w:rPr>
              <w:t>④</w:t>
            </w:r>
            <w:r>
              <w:rPr>
                <w:rFonts w:hint="eastAsia" w:cs="宋体"/>
                <w:color w:val="auto"/>
                <w:kern w:val="0"/>
                <w:szCs w:val="21"/>
              </w:rPr>
              <w:t>患者透析结束后，沾血液的输出入管、透析器等一次性器材有专门的医护人员进行清理收集，作为危险废物进行收集、暂存及处置。同时对透析过滤器进行清洗，清洗剂为</w:t>
            </w:r>
            <w:r>
              <w:rPr>
                <w:rFonts w:hint="eastAsia" w:cs="宋体"/>
                <w:color w:val="auto"/>
                <w:kern w:val="0"/>
                <w:szCs w:val="21"/>
                <w:lang w:val="en-US" w:eastAsia="zh-CN"/>
              </w:rPr>
              <w:t>5%次氯酸钠溶液</w:t>
            </w:r>
            <w:r>
              <w:rPr>
                <w:rFonts w:hint="eastAsia" w:cs="宋体"/>
                <w:color w:val="auto"/>
                <w:kern w:val="0"/>
                <w:szCs w:val="21"/>
              </w:rPr>
              <w:t>，产生的废水为透析设备清洗废水进入自建污水处理站进行处理。更换产生的被服经收集后交由专业单位进行清洗，本项目不设洗衣房。</w:t>
            </w:r>
          </w:p>
          <w:p w14:paraId="70F087AB">
            <w:pPr>
              <w:keepNext w:val="0"/>
              <w:keepLines w:val="0"/>
              <w:suppressLineNumbers w:val="0"/>
              <w:autoSpaceDE w:val="0"/>
              <w:autoSpaceDN w:val="0"/>
              <w:adjustRightInd w:val="0"/>
              <w:spacing w:before="0" w:beforeAutospacing="0" w:after="0" w:afterAutospacing="0" w:line="400" w:lineRule="exact"/>
              <w:ind w:left="0" w:right="0" w:firstLine="422" w:firstLineChars="200"/>
              <w:jc w:val="left"/>
              <w:rPr>
                <w:rFonts w:hint="default"/>
                <w:b/>
                <w:bCs w:val="0"/>
                <w:color w:val="auto"/>
                <w:szCs w:val="21"/>
              </w:rPr>
            </w:pPr>
            <w:r>
              <w:rPr>
                <w:rFonts w:hint="eastAsia"/>
                <w:b/>
                <w:bCs w:val="0"/>
                <w:color w:val="auto"/>
                <w:szCs w:val="21"/>
              </w:rPr>
              <w:t>（</w:t>
            </w:r>
            <w:r>
              <w:rPr>
                <w:rFonts w:hint="eastAsia"/>
                <w:b/>
                <w:bCs w:val="0"/>
                <w:color w:val="auto"/>
                <w:szCs w:val="21"/>
                <w:lang w:val="en-US" w:eastAsia="zh-CN"/>
              </w:rPr>
              <w:t>2</w:t>
            </w:r>
            <w:r>
              <w:rPr>
                <w:rFonts w:hint="eastAsia"/>
                <w:b/>
                <w:bCs w:val="0"/>
                <w:color w:val="auto"/>
                <w:szCs w:val="21"/>
              </w:rPr>
              <w:t>）</w:t>
            </w:r>
            <w:r>
              <w:rPr>
                <w:rFonts w:hint="eastAsia"/>
                <w:b/>
                <w:bCs w:val="0"/>
                <w:color w:val="auto"/>
                <w:szCs w:val="21"/>
                <w:lang w:val="en-US" w:eastAsia="zh-CN"/>
              </w:rPr>
              <w:t>其他患者就诊</w:t>
            </w:r>
            <w:r>
              <w:rPr>
                <w:rFonts w:hint="eastAsia"/>
                <w:b/>
                <w:bCs w:val="0"/>
                <w:color w:val="auto"/>
                <w:szCs w:val="21"/>
              </w:rPr>
              <w:t>工艺流程</w:t>
            </w:r>
          </w:p>
          <w:p w14:paraId="0DBDE863">
            <w:pPr>
              <w:keepNext w:val="0"/>
              <w:keepLines w:val="0"/>
              <w:suppressLineNumbers w:val="0"/>
              <w:autoSpaceDE w:val="0"/>
              <w:autoSpaceDN w:val="0"/>
              <w:adjustRightInd w:val="0"/>
              <w:spacing w:before="0" w:beforeAutospacing="0" w:after="0" w:afterAutospacing="0" w:line="400" w:lineRule="exact"/>
              <w:ind w:left="0" w:right="0" w:firstLine="422" w:firstLineChars="200"/>
              <w:jc w:val="left"/>
              <w:rPr>
                <w:rFonts w:hint="default"/>
                <w:bCs/>
                <w:color w:val="auto"/>
                <w:szCs w:val="21"/>
              </w:rPr>
            </w:pPr>
            <w:r>
              <w:rPr>
                <w:rFonts w:hint="default"/>
                <w:b/>
                <w:bCs/>
                <w:color w:val="auto"/>
                <w:szCs w:val="21"/>
              </w:rPr>
              <w:t>挂号：</w:t>
            </w:r>
            <w:r>
              <w:rPr>
                <w:rFonts w:hint="default"/>
                <w:bCs/>
                <w:color w:val="auto"/>
                <w:szCs w:val="21"/>
              </w:rPr>
              <w:t>就诊患者一般需先进行挂号缴费，或现场前台进行咨询。</w:t>
            </w:r>
          </w:p>
          <w:p w14:paraId="7AE26688">
            <w:pPr>
              <w:keepNext w:val="0"/>
              <w:keepLines w:val="0"/>
              <w:suppressLineNumbers w:val="0"/>
              <w:autoSpaceDE w:val="0"/>
              <w:autoSpaceDN w:val="0"/>
              <w:adjustRightInd w:val="0"/>
              <w:spacing w:before="0" w:beforeAutospacing="0" w:after="0" w:afterAutospacing="0" w:line="400" w:lineRule="exact"/>
              <w:ind w:left="0" w:right="0" w:firstLine="422" w:firstLineChars="200"/>
              <w:jc w:val="left"/>
              <w:rPr>
                <w:rFonts w:hint="default"/>
                <w:bCs/>
                <w:color w:val="auto"/>
                <w:szCs w:val="21"/>
              </w:rPr>
            </w:pPr>
            <w:r>
              <w:rPr>
                <w:rFonts w:hint="default"/>
                <w:b/>
                <w:bCs/>
                <w:color w:val="auto"/>
                <w:szCs w:val="21"/>
              </w:rPr>
              <w:t>诊断、检验：</w:t>
            </w:r>
            <w:r>
              <w:rPr>
                <w:rFonts w:hint="eastAsia"/>
                <w:bCs/>
                <w:color w:val="auto"/>
                <w:szCs w:val="21"/>
              </w:rPr>
              <w:t>医师在门诊室内（检查室）根据患者对病情、过往病史等的描述进行初步诊断，再根据初诊结果对患者进行抽血、体液、血压、心电图、彩超、CT、DR等检查、检验来进一步诊断。过程中无含重金属等试剂、材料的使用。</w:t>
            </w:r>
            <w:r>
              <w:rPr>
                <w:rFonts w:hint="default"/>
                <w:bCs/>
                <w:color w:val="auto"/>
                <w:szCs w:val="21"/>
              </w:rPr>
              <w:t>本项目不设口腔科，因此不会产生含汞废水。</w:t>
            </w:r>
          </w:p>
          <w:p w14:paraId="718DC57E">
            <w:pPr>
              <w:keepNext w:val="0"/>
              <w:keepLines w:val="0"/>
              <w:suppressLineNumbers w:val="0"/>
              <w:autoSpaceDE w:val="0"/>
              <w:autoSpaceDN w:val="0"/>
              <w:adjustRightInd w:val="0"/>
              <w:spacing w:before="0" w:beforeAutospacing="0" w:after="0" w:afterAutospacing="0" w:line="400" w:lineRule="exact"/>
              <w:ind w:left="0" w:right="0" w:firstLine="422" w:firstLineChars="200"/>
              <w:jc w:val="left"/>
              <w:rPr>
                <w:rFonts w:hint="default"/>
                <w:bCs/>
                <w:color w:val="auto"/>
                <w:szCs w:val="21"/>
              </w:rPr>
            </w:pPr>
            <w:r>
              <w:rPr>
                <w:rFonts w:hint="eastAsia"/>
                <w:b/>
                <w:bCs/>
                <w:color w:val="auto"/>
                <w:szCs w:val="21"/>
              </w:rPr>
              <w:t>住院、</w:t>
            </w:r>
            <w:r>
              <w:rPr>
                <w:rFonts w:hint="default"/>
                <w:b/>
                <w:bCs/>
                <w:color w:val="auto"/>
                <w:szCs w:val="21"/>
              </w:rPr>
              <w:t>治疗：</w:t>
            </w:r>
            <w:r>
              <w:rPr>
                <w:rFonts w:hint="default"/>
                <w:bCs/>
                <w:color w:val="auto"/>
                <w:szCs w:val="21"/>
              </w:rPr>
              <w:t>根据检查结果进行对症治疗，需住院治疗的患者转至病房区观察、休息，无需住院的患者诊断后或拿药后离开。本项目不设手术室。</w:t>
            </w:r>
          </w:p>
          <w:p w14:paraId="183FCC1A">
            <w:pPr>
              <w:keepNext w:val="0"/>
              <w:keepLines w:val="0"/>
              <w:suppressLineNumbers w:val="0"/>
              <w:autoSpaceDE w:val="0"/>
              <w:autoSpaceDN w:val="0"/>
              <w:adjustRightInd w:val="0"/>
              <w:spacing w:before="0" w:beforeAutospacing="0" w:after="0" w:afterAutospacing="0" w:line="400" w:lineRule="exact"/>
              <w:ind w:left="0" w:right="0" w:firstLine="420" w:firstLineChars="200"/>
              <w:jc w:val="left"/>
              <w:rPr>
                <w:rFonts w:hint="default"/>
                <w:bCs/>
                <w:color w:val="auto"/>
                <w:szCs w:val="21"/>
                <w:lang w:val="en-US" w:eastAsia="zh-CN"/>
              </w:rPr>
            </w:pPr>
            <w:r>
              <w:rPr>
                <w:rFonts w:hint="eastAsia"/>
                <w:bCs/>
                <w:color w:val="auto"/>
                <w:szCs w:val="21"/>
                <w:lang w:val="en-US" w:eastAsia="zh-CN"/>
              </w:rPr>
              <w:t>工艺流程图如下：</w:t>
            </w:r>
          </w:p>
          <w:p w14:paraId="7FA7166A">
            <w:pPr>
              <w:pStyle w:val="2"/>
              <w:keepNext w:val="0"/>
              <w:keepLines w:val="0"/>
              <w:suppressLineNumbers w:val="0"/>
              <w:spacing w:before="0" w:beforeAutospacing="0" w:afterAutospacing="0"/>
              <w:ind w:right="0"/>
              <w:rPr>
                <w:rFonts w:hint="default"/>
                <w:color w:val="auto"/>
                <w:sz w:val="24"/>
                <w:szCs w:val="28"/>
              </w:rPr>
            </w:pPr>
          </w:p>
          <w:p w14:paraId="25BE86C3">
            <w:pPr>
              <w:pStyle w:val="3"/>
              <w:keepNext w:val="0"/>
              <w:keepLines w:val="0"/>
              <w:suppressLineNumbers w:val="0"/>
              <w:spacing w:before="0" w:beforeAutospacing="0" w:after="0" w:afterAutospacing="0"/>
              <w:ind w:left="0" w:right="0"/>
              <w:rPr>
                <w:rFonts w:hint="default"/>
                <w:color w:val="auto"/>
                <w:sz w:val="24"/>
                <w:szCs w:val="28"/>
              </w:rPr>
            </w:pPr>
          </w:p>
          <w:p w14:paraId="402C6E08">
            <w:pPr>
              <w:pStyle w:val="4"/>
              <w:keepNext w:val="0"/>
              <w:keepLines w:val="0"/>
              <w:suppressLineNumbers w:val="0"/>
              <w:spacing w:before="0" w:beforeAutospacing="0" w:after="0" w:afterAutospacing="0"/>
              <w:ind w:right="0"/>
              <w:rPr>
                <w:rFonts w:hint="default"/>
                <w:color w:val="auto"/>
                <w:sz w:val="24"/>
                <w:szCs w:val="28"/>
              </w:rPr>
            </w:pPr>
          </w:p>
          <w:p w14:paraId="232AE114">
            <w:pPr>
              <w:pStyle w:val="4"/>
              <w:keepNext w:val="0"/>
              <w:keepLines w:val="0"/>
              <w:suppressLineNumbers w:val="0"/>
              <w:spacing w:before="0" w:beforeAutospacing="0" w:after="0" w:afterAutospacing="0"/>
              <w:ind w:right="0"/>
              <w:rPr>
                <w:rFonts w:hint="default"/>
                <w:color w:val="auto"/>
                <w:sz w:val="24"/>
                <w:szCs w:val="28"/>
              </w:rPr>
            </w:pPr>
          </w:p>
          <w:p w14:paraId="75C49AC8">
            <w:pPr>
              <w:pStyle w:val="4"/>
              <w:keepNext w:val="0"/>
              <w:keepLines w:val="0"/>
              <w:suppressLineNumbers w:val="0"/>
              <w:spacing w:before="0" w:beforeAutospacing="0" w:after="0" w:afterAutospacing="0"/>
              <w:ind w:right="0"/>
              <w:rPr>
                <w:rFonts w:hint="default"/>
                <w:color w:val="auto"/>
                <w:sz w:val="24"/>
                <w:szCs w:val="28"/>
              </w:rPr>
            </w:pPr>
          </w:p>
          <w:p w14:paraId="07F9B1A3">
            <w:pPr>
              <w:pStyle w:val="4"/>
              <w:keepNext w:val="0"/>
              <w:keepLines w:val="0"/>
              <w:suppressLineNumbers w:val="0"/>
              <w:spacing w:before="0" w:beforeAutospacing="0" w:after="0" w:afterAutospacing="0"/>
              <w:ind w:right="0"/>
              <w:rPr>
                <w:rFonts w:hint="default"/>
                <w:color w:val="auto"/>
                <w:sz w:val="24"/>
                <w:szCs w:val="28"/>
              </w:rPr>
            </w:pPr>
          </w:p>
          <w:p w14:paraId="63C77620">
            <w:pPr>
              <w:pStyle w:val="4"/>
              <w:keepNext w:val="0"/>
              <w:keepLines w:val="0"/>
              <w:suppressLineNumbers w:val="0"/>
              <w:spacing w:before="0" w:beforeAutospacing="0" w:after="0" w:afterAutospacing="0"/>
              <w:ind w:right="0"/>
              <w:rPr>
                <w:rFonts w:hint="default"/>
                <w:color w:val="auto"/>
                <w:sz w:val="24"/>
                <w:szCs w:val="28"/>
              </w:rPr>
            </w:pPr>
          </w:p>
          <w:p w14:paraId="31BBA438">
            <w:pPr>
              <w:pStyle w:val="4"/>
              <w:keepNext w:val="0"/>
              <w:keepLines w:val="0"/>
              <w:suppressLineNumbers w:val="0"/>
              <w:spacing w:before="0" w:beforeAutospacing="0" w:after="0" w:afterAutospacing="0"/>
              <w:ind w:right="0"/>
              <w:rPr>
                <w:rFonts w:hint="default"/>
                <w:color w:val="auto"/>
                <w:sz w:val="24"/>
                <w:szCs w:val="28"/>
              </w:rPr>
            </w:pPr>
          </w:p>
          <w:p w14:paraId="186CBB92">
            <w:pPr>
              <w:pStyle w:val="4"/>
              <w:keepNext w:val="0"/>
              <w:keepLines w:val="0"/>
              <w:suppressLineNumbers w:val="0"/>
              <w:spacing w:before="0" w:beforeAutospacing="0" w:after="0" w:afterAutospacing="0"/>
              <w:ind w:right="0"/>
              <w:rPr>
                <w:rFonts w:hint="default"/>
                <w:color w:val="auto"/>
                <w:sz w:val="24"/>
                <w:szCs w:val="28"/>
              </w:rPr>
            </w:pPr>
          </w:p>
          <w:p w14:paraId="654A7D7D">
            <w:pPr>
              <w:pStyle w:val="4"/>
              <w:keepNext w:val="0"/>
              <w:keepLines w:val="0"/>
              <w:suppressLineNumbers w:val="0"/>
              <w:spacing w:before="0" w:beforeAutospacing="0" w:after="0" w:afterAutospacing="0"/>
              <w:ind w:right="0"/>
              <w:rPr>
                <w:rFonts w:hint="default"/>
                <w:color w:val="auto"/>
                <w:sz w:val="24"/>
                <w:szCs w:val="28"/>
              </w:rPr>
            </w:pPr>
          </w:p>
          <w:p w14:paraId="1AAC24C6">
            <w:pPr>
              <w:pStyle w:val="4"/>
              <w:keepNext w:val="0"/>
              <w:keepLines w:val="0"/>
              <w:suppressLineNumbers w:val="0"/>
              <w:spacing w:before="0" w:beforeAutospacing="0" w:after="0" w:afterAutospacing="0"/>
              <w:ind w:right="0"/>
              <w:rPr>
                <w:rFonts w:hint="default"/>
                <w:color w:val="auto"/>
                <w:sz w:val="24"/>
                <w:szCs w:val="28"/>
              </w:rPr>
            </w:pPr>
          </w:p>
          <w:p w14:paraId="3DB7098A">
            <w:pPr>
              <w:pStyle w:val="4"/>
              <w:keepNext w:val="0"/>
              <w:keepLines w:val="0"/>
              <w:suppressLineNumbers w:val="0"/>
              <w:spacing w:before="0" w:beforeAutospacing="0" w:after="0" w:afterAutospacing="0"/>
              <w:ind w:right="0"/>
              <w:rPr>
                <w:rFonts w:hint="default"/>
                <w:color w:val="auto"/>
                <w:sz w:val="24"/>
                <w:szCs w:val="28"/>
              </w:rPr>
            </w:pPr>
          </w:p>
          <w:p w14:paraId="6CB389AE">
            <w:pPr>
              <w:pStyle w:val="4"/>
              <w:keepNext w:val="0"/>
              <w:keepLines w:val="0"/>
              <w:suppressLineNumbers w:val="0"/>
              <w:spacing w:before="0" w:beforeAutospacing="0" w:after="0" w:afterAutospacing="0"/>
              <w:ind w:right="0"/>
              <w:rPr>
                <w:rFonts w:hint="default"/>
                <w:color w:val="auto"/>
                <w:sz w:val="24"/>
                <w:szCs w:val="28"/>
              </w:rPr>
            </w:pPr>
          </w:p>
          <w:p w14:paraId="5F8F956B">
            <w:pPr>
              <w:pStyle w:val="4"/>
              <w:keepNext w:val="0"/>
              <w:keepLines w:val="0"/>
              <w:suppressLineNumbers w:val="0"/>
              <w:spacing w:before="0" w:beforeAutospacing="0" w:after="0" w:afterAutospacing="0"/>
              <w:ind w:right="0"/>
              <w:rPr>
                <w:rFonts w:hint="default"/>
                <w:color w:val="auto"/>
                <w:sz w:val="24"/>
                <w:szCs w:val="28"/>
              </w:rPr>
            </w:pPr>
          </w:p>
          <w:p w14:paraId="48485F70">
            <w:pPr>
              <w:pStyle w:val="2"/>
              <w:keepNext w:val="0"/>
              <w:keepLines w:val="0"/>
              <w:suppressLineNumbers w:val="0"/>
              <w:spacing w:before="0" w:beforeAutospacing="0" w:afterAutospacing="0"/>
              <w:ind w:right="0"/>
              <w:rPr>
                <w:rFonts w:hint="default"/>
                <w:color w:val="auto"/>
                <w:sz w:val="24"/>
                <w:szCs w:val="28"/>
              </w:rPr>
            </w:pPr>
          </w:p>
          <w:p w14:paraId="6435E363">
            <w:pPr>
              <w:pStyle w:val="2"/>
              <w:keepNext w:val="0"/>
              <w:keepLines w:val="0"/>
              <w:suppressLineNumbers w:val="0"/>
              <w:spacing w:before="0" w:beforeAutospacing="0" w:afterAutospacing="0"/>
              <w:ind w:right="0"/>
              <w:rPr>
                <w:rFonts w:hint="default"/>
                <w:color w:val="auto"/>
                <w:sz w:val="24"/>
                <w:szCs w:val="28"/>
              </w:rPr>
            </w:pPr>
            <w:r>
              <w:rPr>
                <w:rFonts w:hint="default"/>
                <w:color w:val="auto"/>
                <w:sz w:val="30"/>
              </w:rPr>
              <mc:AlternateContent>
                <mc:Choice Requires="wpg">
                  <w:drawing>
                    <wp:anchor distT="0" distB="0" distL="114300" distR="114300" simplePos="0" relativeHeight="251670528" behindDoc="0" locked="0" layoutInCell="1" allowOverlap="1">
                      <wp:simplePos x="0" y="0"/>
                      <wp:positionH relativeFrom="column">
                        <wp:posOffset>168910</wp:posOffset>
                      </wp:positionH>
                      <wp:positionV relativeFrom="paragraph">
                        <wp:posOffset>76200</wp:posOffset>
                      </wp:positionV>
                      <wp:extent cx="4820920" cy="6006465"/>
                      <wp:effectExtent l="0" t="0" r="17780" b="13335"/>
                      <wp:wrapNone/>
                      <wp:docPr id="134" name="组合 134"/>
                      <wp:cNvGraphicFramePr/>
                      <a:graphic xmlns:a="http://schemas.openxmlformats.org/drawingml/2006/main">
                        <a:graphicData uri="http://schemas.microsoft.com/office/word/2010/wordprocessingGroup">
                          <wpg:wgp>
                            <wpg:cNvGrpSpPr/>
                            <wpg:grpSpPr>
                              <a:xfrm>
                                <a:off x="0" y="0"/>
                                <a:ext cx="4821044" cy="6006465"/>
                                <a:chOff x="3529" y="294145"/>
                                <a:chExt cx="8481" cy="10967"/>
                              </a:xfrm>
                            </wpg:grpSpPr>
                            <wps:wsp>
                              <wps:cNvPr id="1" name="文本框 1"/>
                              <wps:cNvSpPr txBox="1"/>
                              <wps:spPr>
                                <a:xfrm>
                                  <a:off x="10982" y="300738"/>
                                  <a:ext cx="607" cy="338"/>
                                </a:xfrm>
                                <a:prstGeom prst="rect">
                                  <a:avLst/>
                                </a:prstGeom>
                                <a:noFill/>
                                <a:ln w="15240">
                                  <a:noFill/>
                                </a:ln>
                              </wps:spPr>
                              <wps:txbx>
                                <w:txbxContent>
                                  <w:p w14:paraId="779E936A">
                                    <w:pPr>
                                      <w:rPr>
                                        <w:b/>
                                        <w:i/>
                                        <w:szCs w:val="21"/>
                                      </w:rPr>
                                    </w:pPr>
                                    <w:r>
                                      <w:rPr>
                                        <w:rFonts w:hint="eastAsia"/>
                                        <w:b/>
                                        <w:i/>
                                        <w:szCs w:val="21"/>
                                      </w:rPr>
                                      <w:t>污泥</w:t>
                                    </w:r>
                                  </w:p>
                                </w:txbxContent>
                              </wps:txbx>
                              <wps:bodyPr lIns="0" tIns="0" rIns="0" bIns="0" upright="1"/>
                            </wps:wsp>
                            <wps:wsp>
                              <wps:cNvPr id="9" name="直接连接符 9"/>
                              <wps:cNvCnPr/>
                              <wps:spPr>
                                <a:xfrm flipV="1">
                                  <a:off x="11206" y="300367"/>
                                  <a:ext cx="0" cy="409"/>
                                </a:xfrm>
                                <a:prstGeom prst="line">
                                  <a:avLst/>
                                </a:prstGeom>
                                <a:ln w="9525" cap="flat" cmpd="sng">
                                  <a:solidFill>
                                    <a:srgbClr val="000000"/>
                                  </a:solidFill>
                                  <a:prstDash val="dash"/>
                                  <a:headEnd type="none" w="med" len="med"/>
                                  <a:tailEnd type="triangle" w="med" len="med"/>
                                </a:ln>
                              </wps:spPr>
                              <wps:bodyPr/>
                            </wps:wsp>
                            <wps:wsp>
                              <wps:cNvPr id="15" name="文本框 15"/>
                              <wps:cNvSpPr txBox="1"/>
                              <wps:spPr>
                                <a:xfrm>
                                  <a:off x="10779" y="302371"/>
                                  <a:ext cx="996" cy="451"/>
                                </a:xfrm>
                                <a:prstGeom prst="rect">
                                  <a:avLst/>
                                </a:prstGeom>
                                <a:noFill/>
                                <a:ln w="12700">
                                  <a:noFill/>
                                </a:ln>
                              </wps:spPr>
                              <wps:txbx>
                                <w:txbxContent>
                                  <w:p w14:paraId="727349CA">
                                    <w:pPr>
                                      <w:jc w:val="center"/>
                                      <w:rPr>
                                        <w:b/>
                                      </w:rPr>
                                    </w:pPr>
                                    <w:r>
                                      <w:rPr>
                                        <w:rFonts w:hint="eastAsia"/>
                                        <w:b/>
                                      </w:rPr>
                                      <w:t>达标排放</w:t>
                                    </w:r>
                                  </w:p>
                                </w:txbxContent>
                              </wps:txbx>
                              <wps:bodyPr lIns="0" tIns="0" rIns="0" bIns="0" upright="1"/>
                            </wps:wsp>
                            <wps:wsp>
                              <wps:cNvPr id="16" name="文本框 16"/>
                              <wps:cNvSpPr txBox="1"/>
                              <wps:spPr>
                                <a:xfrm>
                                  <a:off x="6473" y="296821"/>
                                  <a:ext cx="2001" cy="400"/>
                                </a:xfrm>
                                <a:prstGeom prst="rect">
                                  <a:avLst/>
                                </a:prstGeom>
                                <a:noFill/>
                                <a:ln w="19050" cap="flat" cmpd="sng">
                                  <a:solidFill>
                                    <a:srgbClr val="000000"/>
                                  </a:solidFill>
                                  <a:prstDash val="solid"/>
                                  <a:miter/>
                                  <a:headEnd type="none" w="med" len="med"/>
                                  <a:tailEnd type="none" w="med" len="med"/>
                                </a:ln>
                              </wps:spPr>
                              <wps:txbx>
                                <w:txbxContent>
                                  <w:p w14:paraId="33C5A1EE">
                                    <w:pPr>
                                      <w:jc w:val="center"/>
                                      <w:rPr>
                                        <w:rFonts w:ascii="Calibri" w:hAnsi="Calibri"/>
                                        <w:b/>
                                        <w:szCs w:val="21"/>
                                      </w:rPr>
                                    </w:pPr>
                                    <w:r>
                                      <w:rPr>
                                        <w:rFonts w:hint="eastAsia" w:ascii="Calibri" w:hAnsi="Calibri"/>
                                        <w:b/>
                                        <w:szCs w:val="21"/>
                                      </w:rPr>
                                      <w:t>病人入院</w:t>
                                    </w:r>
                                  </w:p>
                                </w:txbxContent>
                              </wps:txbx>
                              <wps:bodyPr lIns="0" tIns="0" rIns="0" bIns="0" upright="1"/>
                            </wps:wsp>
                            <wps:wsp>
                              <wps:cNvPr id="17" name="文本框 17"/>
                              <wps:cNvSpPr txBox="1"/>
                              <wps:spPr>
                                <a:xfrm>
                                  <a:off x="6479" y="298015"/>
                                  <a:ext cx="2001" cy="400"/>
                                </a:xfrm>
                                <a:prstGeom prst="rect">
                                  <a:avLst/>
                                </a:prstGeom>
                                <a:noFill/>
                                <a:ln w="19050" cap="flat" cmpd="sng">
                                  <a:solidFill>
                                    <a:srgbClr val="000000"/>
                                  </a:solidFill>
                                  <a:prstDash val="solid"/>
                                  <a:miter/>
                                  <a:headEnd type="none" w="med" len="med"/>
                                  <a:tailEnd type="none" w="med" len="med"/>
                                </a:ln>
                              </wps:spPr>
                              <wps:txbx>
                                <w:txbxContent>
                                  <w:p w14:paraId="55EDA5A4">
                                    <w:pPr>
                                      <w:jc w:val="center"/>
                                      <w:rPr>
                                        <w:rFonts w:ascii="Calibri" w:hAnsi="Calibri"/>
                                        <w:b/>
                                        <w:szCs w:val="21"/>
                                      </w:rPr>
                                    </w:pPr>
                                    <w:r>
                                      <w:rPr>
                                        <w:rFonts w:hint="eastAsia" w:ascii="Calibri" w:hAnsi="Calibri"/>
                                        <w:b/>
                                        <w:szCs w:val="21"/>
                                      </w:rPr>
                                      <w:t>检验、诊断</w:t>
                                    </w:r>
                                  </w:p>
                                </w:txbxContent>
                              </wps:txbx>
                              <wps:bodyPr lIns="0" tIns="0" rIns="0" bIns="0" upright="1"/>
                            </wps:wsp>
                            <wps:wsp>
                              <wps:cNvPr id="18" name="文本框 18"/>
                              <wps:cNvSpPr txBox="1"/>
                              <wps:spPr>
                                <a:xfrm>
                                  <a:off x="6464" y="299102"/>
                                  <a:ext cx="2001" cy="400"/>
                                </a:xfrm>
                                <a:prstGeom prst="rect">
                                  <a:avLst/>
                                </a:prstGeom>
                                <a:noFill/>
                                <a:ln w="19050" cap="flat" cmpd="sng">
                                  <a:solidFill>
                                    <a:srgbClr val="000000"/>
                                  </a:solidFill>
                                  <a:prstDash val="solid"/>
                                  <a:miter/>
                                  <a:headEnd type="none" w="med" len="med"/>
                                  <a:tailEnd type="none" w="med" len="med"/>
                                </a:ln>
                              </wps:spPr>
                              <wps:txbx>
                                <w:txbxContent>
                                  <w:p w14:paraId="447F9583">
                                    <w:pPr>
                                      <w:jc w:val="center"/>
                                      <w:rPr>
                                        <w:rFonts w:ascii="Calibri" w:hAnsi="Calibri"/>
                                        <w:b/>
                                        <w:szCs w:val="21"/>
                                      </w:rPr>
                                    </w:pPr>
                                    <w:r>
                                      <w:rPr>
                                        <w:rFonts w:hint="eastAsia" w:ascii="Calibri" w:hAnsi="Calibri"/>
                                        <w:b/>
                                        <w:szCs w:val="21"/>
                                      </w:rPr>
                                      <w:t>治   疗</w:t>
                                    </w:r>
                                  </w:p>
                                </w:txbxContent>
                              </wps:txbx>
                              <wps:bodyPr lIns="0" tIns="0" rIns="0" bIns="0" upright="1"/>
                            </wps:wsp>
                            <wps:wsp>
                              <wps:cNvPr id="19" name="文本框 19"/>
                              <wps:cNvSpPr txBox="1"/>
                              <wps:spPr>
                                <a:xfrm>
                                  <a:off x="6563" y="300249"/>
                                  <a:ext cx="1700" cy="1104"/>
                                </a:xfrm>
                                <a:prstGeom prst="rect">
                                  <a:avLst/>
                                </a:prstGeom>
                                <a:noFill/>
                                <a:ln w="19050" cap="flat" cmpd="sng">
                                  <a:solidFill>
                                    <a:srgbClr val="000000"/>
                                  </a:solidFill>
                                  <a:prstDash val="solid"/>
                                  <a:miter/>
                                  <a:headEnd type="none" w="med" len="med"/>
                                  <a:tailEnd type="none" w="med" len="med"/>
                                </a:ln>
                              </wps:spPr>
                              <wps:txbx>
                                <w:txbxContent>
                                  <w:p w14:paraId="597C8611">
                                    <w:pPr>
                                      <w:spacing w:line="400" w:lineRule="exact"/>
                                      <w:jc w:val="center"/>
                                      <w:rPr>
                                        <w:rFonts w:hint="eastAsia" w:ascii="Calibri" w:hAnsi="Calibri"/>
                                        <w:b/>
                                        <w:szCs w:val="21"/>
                                      </w:rPr>
                                    </w:pPr>
                                    <w:r>
                                      <w:rPr>
                                        <w:rFonts w:hint="eastAsia" w:ascii="Calibri" w:hAnsi="Calibri"/>
                                        <w:b/>
                                        <w:szCs w:val="21"/>
                                      </w:rPr>
                                      <w:t>住院、治疗、</w:t>
                                    </w:r>
                                  </w:p>
                                  <w:p w14:paraId="0AAD5239">
                                    <w:pPr>
                                      <w:spacing w:line="400" w:lineRule="exact"/>
                                      <w:jc w:val="center"/>
                                      <w:rPr>
                                        <w:rFonts w:ascii="Calibri" w:hAnsi="Calibri"/>
                                        <w:b/>
                                        <w:szCs w:val="21"/>
                                      </w:rPr>
                                    </w:pPr>
                                    <w:r>
                                      <w:rPr>
                                        <w:rFonts w:hint="eastAsia" w:ascii="Calibri" w:hAnsi="Calibri"/>
                                        <w:b/>
                                        <w:szCs w:val="21"/>
                                      </w:rPr>
                                      <w:t>护理</w:t>
                                    </w:r>
                                  </w:p>
                                </w:txbxContent>
                              </wps:txbx>
                              <wps:bodyPr lIns="0" tIns="0" rIns="0" bIns="0" upright="1"/>
                            </wps:wsp>
                            <wps:wsp>
                              <wps:cNvPr id="20" name="文本框 20"/>
                              <wps:cNvSpPr txBox="1"/>
                              <wps:spPr>
                                <a:xfrm>
                                  <a:off x="6449" y="303025"/>
                                  <a:ext cx="2001" cy="400"/>
                                </a:xfrm>
                                <a:prstGeom prst="rect">
                                  <a:avLst/>
                                </a:prstGeom>
                                <a:noFill/>
                                <a:ln w="19050" cap="flat" cmpd="sng">
                                  <a:solidFill>
                                    <a:srgbClr val="000000"/>
                                  </a:solidFill>
                                  <a:prstDash val="solid"/>
                                  <a:miter/>
                                  <a:headEnd type="none" w="med" len="med"/>
                                  <a:tailEnd type="none" w="med" len="med"/>
                                </a:ln>
                              </wps:spPr>
                              <wps:txbx>
                                <w:txbxContent>
                                  <w:p w14:paraId="3AD8EFDD">
                                    <w:pPr>
                                      <w:jc w:val="center"/>
                                      <w:rPr>
                                        <w:rFonts w:ascii="Calibri" w:hAnsi="Calibri"/>
                                        <w:b/>
                                        <w:szCs w:val="21"/>
                                      </w:rPr>
                                    </w:pPr>
                                    <w:r>
                                      <w:rPr>
                                        <w:rFonts w:hint="eastAsia" w:ascii="Calibri" w:hAnsi="Calibri"/>
                                        <w:b/>
                                        <w:szCs w:val="21"/>
                                      </w:rPr>
                                      <w:t>复  检</w:t>
                                    </w:r>
                                  </w:p>
                                </w:txbxContent>
                              </wps:txbx>
                              <wps:bodyPr lIns="0" tIns="0" rIns="0" bIns="0" upright="1"/>
                            </wps:wsp>
                            <wps:wsp>
                              <wps:cNvPr id="21" name="文本框 21"/>
                              <wps:cNvSpPr txBox="1"/>
                              <wps:spPr>
                                <a:xfrm>
                                  <a:off x="6569" y="304534"/>
                                  <a:ext cx="1819" cy="401"/>
                                </a:xfrm>
                                <a:prstGeom prst="rect">
                                  <a:avLst/>
                                </a:prstGeom>
                                <a:noFill/>
                                <a:ln w="12700" cap="flat" cmpd="sng">
                                  <a:solidFill>
                                    <a:srgbClr val="000000"/>
                                  </a:solidFill>
                                  <a:prstDash val="solid"/>
                                  <a:miter/>
                                  <a:headEnd type="none" w="med" len="med"/>
                                  <a:tailEnd type="none" w="med" len="med"/>
                                </a:ln>
                              </wps:spPr>
                              <wps:txbx>
                                <w:txbxContent>
                                  <w:p w14:paraId="61F31250">
                                    <w:pPr>
                                      <w:jc w:val="center"/>
                                      <w:rPr>
                                        <w:rFonts w:ascii="Calibri" w:hAnsi="Calibri"/>
                                        <w:b/>
                                        <w:szCs w:val="21"/>
                                      </w:rPr>
                                    </w:pPr>
                                    <w:r>
                                      <w:rPr>
                                        <w:rFonts w:hint="eastAsia" w:ascii="Calibri" w:hAnsi="Calibri"/>
                                        <w:b/>
                                        <w:szCs w:val="21"/>
                                      </w:rPr>
                                      <w:t>病人出院</w:t>
                                    </w:r>
                                  </w:p>
                                </w:txbxContent>
                              </wps:txbx>
                              <wps:bodyPr lIns="0" tIns="0" rIns="0" bIns="0" upright="1"/>
                            </wps:wsp>
                            <wps:wsp>
                              <wps:cNvPr id="22" name="文本框 22"/>
                              <wps:cNvSpPr txBox="1"/>
                              <wps:spPr>
                                <a:xfrm>
                                  <a:off x="4570" y="297395"/>
                                  <a:ext cx="801" cy="311"/>
                                </a:xfrm>
                                <a:prstGeom prst="rect">
                                  <a:avLst/>
                                </a:prstGeom>
                                <a:noFill/>
                                <a:ln w="12700" cap="flat" cmpd="sng">
                                  <a:solidFill>
                                    <a:srgbClr val="000000"/>
                                  </a:solidFill>
                                  <a:prstDash val="solid"/>
                                  <a:miter/>
                                  <a:headEnd type="none" w="med" len="med"/>
                                  <a:tailEnd type="none" w="med" len="med"/>
                                </a:ln>
                              </wps:spPr>
                              <wps:txbx>
                                <w:txbxContent>
                                  <w:p w14:paraId="7DD0787F">
                                    <w:pPr>
                                      <w:jc w:val="center"/>
                                      <w:rPr>
                                        <w:rFonts w:ascii="Calibri" w:hAnsi="Calibri"/>
                                        <w:sz w:val="18"/>
                                        <w:szCs w:val="18"/>
                                      </w:rPr>
                                    </w:pPr>
                                    <w:r>
                                      <w:rPr>
                                        <w:rFonts w:hint="eastAsia" w:ascii="Calibri" w:hAnsi="Calibri"/>
                                        <w:sz w:val="18"/>
                                        <w:szCs w:val="18"/>
                                      </w:rPr>
                                      <w:t>热水器</w:t>
                                    </w:r>
                                  </w:p>
                                </w:txbxContent>
                              </wps:txbx>
                              <wps:bodyPr lIns="0" tIns="0" rIns="0" bIns="0" upright="1"/>
                            </wps:wsp>
                            <wps:wsp>
                              <wps:cNvPr id="23" name="文本框 23"/>
                              <wps:cNvSpPr txBox="1"/>
                              <wps:spPr>
                                <a:xfrm>
                                  <a:off x="4018" y="301198"/>
                                  <a:ext cx="1301" cy="400"/>
                                </a:xfrm>
                                <a:prstGeom prst="rect">
                                  <a:avLst/>
                                </a:prstGeom>
                                <a:noFill/>
                                <a:ln w="12700" cap="flat" cmpd="sng">
                                  <a:solidFill>
                                    <a:srgbClr val="000000"/>
                                  </a:solidFill>
                                  <a:prstDash val="solid"/>
                                  <a:miter/>
                                  <a:headEnd type="none" w="med" len="med"/>
                                  <a:tailEnd type="none" w="med" len="med"/>
                                </a:ln>
                              </wps:spPr>
                              <wps:txbx>
                                <w:txbxContent>
                                  <w:p w14:paraId="5FD9180C">
                                    <w:pPr>
                                      <w:jc w:val="center"/>
                                      <w:rPr>
                                        <w:rFonts w:ascii="Calibri" w:hAnsi="Calibri"/>
                                        <w:b/>
                                        <w:szCs w:val="21"/>
                                      </w:rPr>
                                    </w:pPr>
                                    <w:r>
                                      <w:rPr>
                                        <w:rFonts w:hint="eastAsia" w:ascii="Calibri" w:hAnsi="Calibri"/>
                                        <w:b/>
                                        <w:szCs w:val="21"/>
                                      </w:rPr>
                                      <w:t>医护人员</w:t>
                                    </w:r>
                                  </w:p>
                                </w:txbxContent>
                              </wps:txbx>
                              <wps:bodyPr lIns="0" tIns="0" rIns="0" bIns="0" upright="1"/>
                            </wps:wsp>
                            <wps:wsp>
                              <wps:cNvPr id="26" name="矩形 26"/>
                              <wps:cNvSpPr/>
                              <wps:spPr>
                                <a:xfrm>
                                  <a:off x="6340" y="296667"/>
                                  <a:ext cx="2294" cy="7103"/>
                                </a:xfrm>
                                <a:prstGeom prst="rect">
                                  <a:avLst/>
                                </a:prstGeom>
                                <a:noFill/>
                                <a:ln w="9525" cap="flat" cmpd="sng">
                                  <a:solidFill>
                                    <a:srgbClr val="000000"/>
                                  </a:solidFill>
                                  <a:prstDash val="dash"/>
                                  <a:miter/>
                                  <a:headEnd type="none" w="med" len="med"/>
                                  <a:tailEnd type="none" w="med" len="med"/>
                                </a:ln>
                              </wps:spPr>
                              <wps:bodyPr upright="1"/>
                            </wps:wsp>
                            <wps:wsp>
                              <wps:cNvPr id="27" name="直接连接符 27"/>
                              <wps:cNvCnPr/>
                              <wps:spPr>
                                <a:xfrm>
                                  <a:off x="7460" y="297281"/>
                                  <a:ext cx="0" cy="698"/>
                                </a:xfrm>
                                <a:prstGeom prst="line">
                                  <a:avLst/>
                                </a:prstGeom>
                                <a:ln w="19050" cap="flat" cmpd="sng">
                                  <a:solidFill>
                                    <a:srgbClr val="000000"/>
                                  </a:solidFill>
                                  <a:prstDash val="solid"/>
                                  <a:headEnd type="none" w="med" len="med"/>
                                  <a:tailEnd type="triangle" w="lg" len="lg"/>
                                </a:ln>
                              </wps:spPr>
                              <wps:bodyPr/>
                            </wps:wsp>
                            <wps:wsp>
                              <wps:cNvPr id="28" name="直接连接符 28"/>
                              <wps:cNvCnPr/>
                              <wps:spPr>
                                <a:xfrm>
                                  <a:off x="7439" y="298405"/>
                                  <a:ext cx="0" cy="698"/>
                                </a:xfrm>
                                <a:prstGeom prst="line">
                                  <a:avLst/>
                                </a:prstGeom>
                                <a:ln w="19050" cap="flat" cmpd="sng">
                                  <a:solidFill>
                                    <a:srgbClr val="000000"/>
                                  </a:solidFill>
                                  <a:prstDash val="solid"/>
                                  <a:headEnd type="none" w="med" len="med"/>
                                  <a:tailEnd type="triangle" w="lg" len="lg"/>
                                </a:ln>
                              </wps:spPr>
                              <wps:bodyPr/>
                            </wps:wsp>
                            <wps:wsp>
                              <wps:cNvPr id="29" name="直接连接符 29"/>
                              <wps:cNvCnPr/>
                              <wps:spPr>
                                <a:xfrm>
                                  <a:off x="7454" y="299528"/>
                                  <a:ext cx="0" cy="698"/>
                                </a:xfrm>
                                <a:prstGeom prst="line">
                                  <a:avLst/>
                                </a:prstGeom>
                                <a:ln w="19050" cap="flat" cmpd="sng">
                                  <a:solidFill>
                                    <a:srgbClr val="000000"/>
                                  </a:solidFill>
                                  <a:prstDash val="solid"/>
                                  <a:headEnd type="none" w="med" len="med"/>
                                  <a:tailEnd type="triangle" w="lg" len="lg"/>
                                </a:ln>
                              </wps:spPr>
                              <wps:bodyPr/>
                            </wps:wsp>
                            <wps:wsp>
                              <wps:cNvPr id="30" name="直接连接符 30"/>
                              <wps:cNvCnPr/>
                              <wps:spPr>
                                <a:xfrm flipH="1">
                                  <a:off x="7439" y="301353"/>
                                  <a:ext cx="15" cy="1601"/>
                                </a:xfrm>
                                <a:prstGeom prst="line">
                                  <a:avLst/>
                                </a:prstGeom>
                                <a:ln w="19050" cap="flat" cmpd="sng">
                                  <a:solidFill>
                                    <a:srgbClr val="000000"/>
                                  </a:solidFill>
                                  <a:prstDash val="solid"/>
                                  <a:headEnd type="none" w="med" len="med"/>
                                  <a:tailEnd type="triangle" w="lg" len="lg"/>
                                </a:ln>
                              </wps:spPr>
                              <wps:bodyPr/>
                            </wps:wsp>
                            <wps:wsp>
                              <wps:cNvPr id="31" name="直接连接符 31"/>
                              <wps:cNvCnPr/>
                              <wps:spPr>
                                <a:xfrm>
                                  <a:off x="7469" y="303505"/>
                                  <a:ext cx="0" cy="962"/>
                                </a:xfrm>
                                <a:prstGeom prst="line">
                                  <a:avLst/>
                                </a:prstGeom>
                                <a:ln w="19050" cap="flat" cmpd="sng">
                                  <a:solidFill>
                                    <a:srgbClr val="000000"/>
                                  </a:solidFill>
                                  <a:prstDash val="solid"/>
                                  <a:headEnd type="none" w="med" len="med"/>
                                  <a:tailEnd type="triangle" w="lg" len="lg"/>
                                </a:ln>
                              </wps:spPr>
                              <wps:bodyPr/>
                            </wps:wsp>
                            <wps:wsp>
                              <wps:cNvPr id="32" name="直接连接符 32"/>
                              <wps:cNvCnPr/>
                              <wps:spPr>
                                <a:xfrm>
                                  <a:off x="5357" y="297575"/>
                                  <a:ext cx="945" cy="1"/>
                                </a:xfrm>
                                <a:prstGeom prst="line">
                                  <a:avLst/>
                                </a:prstGeom>
                                <a:ln w="9525" cap="flat" cmpd="sng">
                                  <a:solidFill>
                                    <a:srgbClr val="000000"/>
                                  </a:solidFill>
                                  <a:prstDash val="solid"/>
                                  <a:headEnd type="none" w="med" len="med"/>
                                  <a:tailEnd type="triangle" w="med" len="med"/>
                                </a:ln>
                              </wps:spPr>
                              <wps:bodyPr/>
                            </wps:wsp>
                            <wps:wsp>
                              <wps:cNvPr id="33" name="直接连接符 33"/>
                              <wps:cNvCnPr/>
                              <wps:spPr>
                                <a:xfrm>
                                  <a:off x="5307" y="301385"/>
                                  <a:ext cx="1007" cy="9"/>
                                </a:xfrm>
                                <a:prstGeom prst="line">
                                  <a:avLst/>
                                </a:prstGeom>
                                <a:ln w="9525" cap="flat" cmpd="sng">
                                  <a:solidFill>
                                    <a:srgbClr val="000000"/>
                                  </a:solidFill>
                                  <a:prstDash val="solid"/>
                                  <a:headEnd type="none" w="med" len="med"/>
                                  <a:tailEnd type="triangle" w="med" len="med"/>
                                </a:ln>
                              </wps:spPr>
                              <wps:bodyPr/>
                            </wps:wsp>
                            <wps:wsp>
                              <wps:cNvPr id="37" name="直接连接符 37"/>
                              <wps:cNvCnPr/>
                              <wps:spPr>
                                <a:xfrm>
                                  <a:off x="4233" y="301620"/>
                                  <a:ext cx="0" cy="1704"/>
                                </a:xfrm>
                                <a:prstGeom prst="line">
                                  <a:avLst/>
                                </a:prstGeom>
                                <a:ln w="9525" cap="flat" cmpd="sng">
                                  <a:solidFill>
                                    <a:srgbClr val="000000"/>
                                  </a:solidFill>
                                  <a:prstDash val="dash"/>
                                  <a:headEnd type="none" w="med" len="med"/>
                                  <a:tailEnd type="triangle" w="med" len="med"/>
                                </a:ln>
                              </wps:spPr>
                              <wps:bodyPr/>
                            </wps:wsp>
                            <wps:wsp>
                              <wps:cNvPr id="39" name="直接连接符 39"/>
                              <wps:cNvCnPr/>
                              <wps:spPr>
                                <a:xfrm flipH="1">
                                  <a:off x="4856" y="301621"/>
                                  <a:ext cx="0" cy="1712"/>
                                </a:xfrm>
                                <a:prstGeom prst="line">
                                  <a:avLst/>
                                </a:prstGeom>
                                <a:ln w="9525" cap="flat" cmpd="sng">
                                  <a:solidFill>
                                    <a:srgbClr val="000000"/>
                                  </a:solidFill>
                                  <a:prstDash val="dash"/>
                                  <a:headEnd type="none" w="med" len="med"/>
                                  <a:tailEnd type="triangle" w="med" len="med"/>
                                </a:ln>
                              </wps:spPr>
                              <wps:bodyPr/>
                            </wps:wsp>
                            <wps:wsp>
                              <wps:cNvPr id="43" name="文本框 43"/>
                              <wps:cNvSpPr txBox="1"/>
                              <wps:spPr>
                                <a:xfrm>
                                  <a:off x="3529" y="303333"/>
                                  <a:ext cx="1023" cy="303"/>
                                </a:xfrm>
                                <a:prstGeom prst="rect">
                                  <a:avLst/>
                                </a:prstGeom>
                                <a:noFill/>
                                <a:ln>
                                  <a:noFill/>
                                </a:ln>
                              </wps:spPr>
                              <wps:txbx>
                                <w:txbxContent>
                                  <w:p w14:paraId="2351C531">
                                    <w:pPr>
                                      <w:rPr>
                                        <w:i/>
                                        <w:u w:val="single"/>
                                      </w:rPr>
                                    </w:pPr>
                                    <w:r>
                                      <w:rPr>
                                        <w:rFonts w:hint="eastAsia"/>
                                        <w:i/>
                                        <w:u w:val="single"/>
                                      </w:rPr>
                                      <w:t>生活垃圾</w:t>
                                    </w:r>
                                  </w:p>
                                </w:txbxContent>
                              </wps:txbx>
                              <wps:bodyPr lIns="0" tIns="0" rIns="0" bIns="0" upright="1"/>
                            </wps:wsp>
                            <wps:wsp>
                              <wps:cNvPr id="44" name="文本框 44"/>
                              <wps:cNvSpPr txBox="1"/>
                              <wps:spPr>
                                <a:xfrm>
                                  <a:off x="4649" y="303285"/>
                                  <a:ext cx="1033" cy="303"/>
                                </a:xfrm>
                                <a:prstGeom prst="rect">
                                  <a:avLst/>
                                </a:prstGeom>
                                <a:noFill/>
                                <a:ln>
                                  <a:noFill/>
                                </a:ln>
                              </wps:spPr>
                              <wps:txbx>
                                <w:txbxContent>
                                  <w:p w14:paraId="49B4C884">
                                    <w:pPr>
                                      <w:rPr>
                                        <w:i/>
                                        <w:u w:val="single"/>
                                      </w:rPr>
                                    </w:pPr>
                                    <w:r>
                                      <w:rPr>
                                        <w:rFonts w:hint="eastAsia"/>
                                        <w:i/>
                                        <w:u w:val="single"/>
                                      </w:rPr>
                                      <w:t>生活污水</w:t>
                                    </w:r>
                                  </w:p>
                                </w:txbxContent>
                              </wps:txbx>
                              <wps:bodyPr lIns="0" tIns="0" rIns="0" bIns="0" upright="1"/>
                            </wps:wsp>
                            <wps:wsp>
                              <wps:cNvPr id="46" name="直接连接符 46"/>
                              <wps:cNvCnPr/>
                              <wps:spPr>
                                <a:xfrm>
                                  <a:off x="4069" y="303588"/>
                                  <a:ext cx="0" cy="454"/>
                                </a:xfrm>
                                <a:prstGeom prst="line">
                                  <a:avLst/>
                                </a:prstGeom>
                                <a:ln w="9525" cap="flat" cmpd="sng">
                                  <a:solidFill>
                                    <a:srgbClr val="000000"/>
                                  </a:solidFill>
                                  <a:prstDash val="dash"/>
                                  <a:headEnd type="none" w="med" len="med"/>
                                  <a:tailEnd type="triangle" w="med" len="med"/>
                                </a:ln>
                              </wps:spPr>
                              <wps:bodyPr/>
                            </wps:wsp>
                            <wps:wsp>
                              <wps:cNvPr id="48" name="文本框 48"/>
                              <wps:cNvSpPr txBox="1"/>
                              <wps:spPr>
                                <a:xfrm>
                                  <a:off x="3534" y="304089"/>
                                  <a:ext cx="1033" cy="303"/>
                                </a:xfrm>
                                <a:prstGeom prst="rect">
                                  <a:avLst/>
                                </a:prstGeom>
                                <a:noFill/>
                                <a:ln>
                                  <a:noFill/>
                                </a:ln>
                              </wps:spPr>
                              <wps:txbx>
                                <w:txbxContent>
                                  <w:p w14:paraId="456F64FF">
                                    <w:r>
                                      <w:rPr>
                                        <w:rFonts w:hint="eastAsia"/>
                                      </w:rPr>
                                      <w:t>环卫清运</w:t>
                                    </w:r>
                                  </w:p>
                                </w:txbxContent>
                              </wps:txbx>
                              <wps:bodyPr lIns="0" tIns="0" rIns="0" bIns="0" upright="1"/>
                            </wps:wsp>
                            <wps:wsp>
                              <wps:cNvPr id="54" name="文本框 54"/>
                              <wps:cNvSpPr txBox="1"/>
                              <wps:spPr>
                                <a:xfrm>
                                  <a:off x="10095" y="299313"/>
                                  <a:ext cx="1141" cy="344"/>
                                </a:xfrm>
                                <a:prstGeom prst="rect">
                                  <a:avLst/>
                                </a:prstGeom>
                                <a:noFill/>
                                <a:ln w="15240" cap="flat" cmpd="sng">
                                  <a:solidFill>
                                    <a:srgbClr val="000000"/>
                                  </a:solidFill>
                                  <a:prstDash val="solid"/>
                                  <a:miter/>
                                  <a:headEnd type="none" w="med" len="med"/>
                                  <a:tailEnd type="none" w="med" len="med"/>
                                </a:ln>
                              </wps:spPr>
                              <wps:txbx>
                                <w:txbxContent>
                                  <w:p w14:paraId="1221BD84">
                                    <w:pPr>
                                      <w:jc w:val="center"/>
                                      <w:rPr>
                                        <w:rFonts w:ascii="Calibri" w:hAnsi="Calibri"/>
                                        <w:b/>
                                        <w:szCs w:val="21"/>
                                      </w:rPr>
                                    </w:pPr>
                                    <w:r>
                                      <w:rPr>
                                        <w:rFonts w:hint="eastAsia" w:ascii="Calibri" w:hAnsi="Calibri"/>
                                        <w:b/>
                                        <w:szCs w:val="21"/>
                                      </w:rPr>
                                      <w:t>暂存间</w:t>
                                    </w:r>
                                  </w:p>
                                </w:txbxContent>
                              </wps:txbx>
                              <wps:bodyPr lIns="0" tIns="0" rIns="0" bIns="0" upright="1"/>
                            </wps:wsp>
                            <wps:wsp>
                              <wps:cNvPr id="55" name="直接连接符 55"/>
                              <wps:cNvCnPr/>
                              <wps:spPr>
                                <a:xfrm>
                                  <a:off x="8189" y="299502"/>
                                  <a:ext cx="0" cy="151"/>
                                </a:xfrm>
                                <a:prstGeom prst="line">
                                  <a:avLst/>
                                </a:prstGeom>
                                <a:ln w="9525" cap="flat" cmpd="sng">
                                  <a:solidFill>
                                    <a:srgbClr val="000000"/>
                                  </a:solidFill>
                                  <a:prstDash val="dash"/>
                                  <a:headEnd type="none" w="med" len="med"/>
                                  <a:tailEnd type="none" w="med" len="med"/>
                                </a:ln>
                              </wps:spPr>
                              <wps:bodyPr/>
                            </wps:wsp>
                            <wps:wsp>
                              <wps:cNvPr id="56" name="直接连接符 56"/>
                              <wps:cNvCnPr/>
                              <wps:spPr>
                                <a:xfrm>
                                  <a:off x="8189" y="299669"/>
                                  <a:ext cx="1080" cy="0"/>
                                </a:xfrm>
                                <a:prstGeom prst="line">
                                  <a:avLst/>
                                </a:prstGeom>
                                <a:ln w="9525" cap="flat" cmpd="sng">
                                  <a:solidFill>
                                    <a:srgbClr val="000000"/>
                                  </a:solidFill>
                                  <a:prstDash val="dash"/>
                                  <a:headEnd type="none" w="med" len="med"/>
                                  <a:tailEnd type="none" w="med" len="med"/>
                                </a:ln>
                              </wps:spPr>
                              <wps:bodyPr/>
                            </wps:wsp>
                            <wps:wsp>
                              <wps:cNvPr id="57" name="直接连接符 57"/>
                              <wps:cNvCnPr/>
                              <wps:spPr>
                                <a:xfrm>
                                  <a:off x="9269" y="299678"/>
                                  <a:ext cx="0" cy="454"/>
                                </a:xfrm>
                                <a:prstGeom prst="line">
                                  <a:avLst/>
                                </a:prstGeom>
                                <a:ln w="9525" cap="flat" cmpd="sng">
                                  <a:solidFill>
                                    <a:srgbClr val="000000"/>
                                  </a:solidFill>
                                  <a:prstDash val="dash"/>
                                  <a:headEnd type="none" w="med" len="med"/>
                                  <a:tailEnd type="triangle" w="med" len="med"/>
                                </a:ln>
                              </wps:spPr>
                              <wps:bodyPr/>
                            </wps:wsp>
                            <wps:wsp>
                              <wps:cNvPr id="58" name="文本框 58"/>
                              <wps:cNvSpPr txBox="1"/>
                              <wps:spPr>
                                <a:xfrm>
                                  <a:off x="8756" y="300162"/>
                                  <a:ext cx="1077" cy="394"/>
                                </a:xfrm>
                                <a:prstGeom prst="rect">
                                  <a:avLst/>
                                </a:prstGeom>
                                <a:noFill/>
                                <a:ln w="12700">
                                  <a:noFill/>
                                </a:ln>
                              </wps:spPr>
                              <wps:txbx>
                                <w:txbxContent>
                                  <w:p w14:paraId="27E2167E">
                                    <w:pPr>
                                      <w:jc w:val="center"/>
                                      <w:rPr>
                                        <w:b/>
                                        <w:i/>
                                        <w:u w:val="single"/>
                                      </w:rPr>
                                    </w:pPr>
                                    <w:r>
                                      <w:rPr>
                                        <w:rFonts w:hint="eastAsia"/>
                                        <w:b/>
                                        <w:i/>
                                        <w:u w:val="single"/>
                                      </w:rPr>
                                      <w:t>医疗废水</w:t>
                                    </w:r>
                                  </w:p>
                                </w:txbxContent>
                              </wps:txbx>
                              <wps:bodyPr lIns="0" tIns="0" rIns="0" bIns="0" upright="1"/>
                            </wps:wsp>
                            <wps:wsp>
                              <wps:cNvPr id="59" name="直接连接符 59"/>
                              <wps:cNvCnPr/>
                              <wps:spPr>
                                <a:xfrm>
                                  <a:off x="8277" y="300360"/>
                                  <a:ext cx="540" cy="0"/>
                                </a:xfrm>
                                <a:prstGeom prst="line">
                                  <a:avLst/>
                                </a:prstGeom>
                                <a:ln w="9525" cap="flat" cmpd="sng">
                                  <a:solidFill>
                                    <a:srgbClr val="000000"/>
                                  </a:solidFill>
                                  <a:prstDash val="solid"/>
                                  <a:headEnd type="none" w="med" len="med"/>
                                  <a:tailEnd type="triangle" w="med" len="med"/>
                                </a:ln>
                              </wps:spPr>
                              <wps:bodyPr/>
                            </wps:wsp>
                            <wps:wsp>
                              <wps:cNvPr id="60" name="文本框 60"/>
                              <wps:cNvSpPr txBox="1"/>
                              <wps:spPr>
                                <a:xfrm>
                                  <a:off x="9027" y="300903"/>
                                  <a:ext cx="1067" cy="394"/>
                                </a:xfrm>
                                <a:prstGeom prst="rect">
                                  <a:avLst/>
                                </a:prstGeom>
                                <a:noFill/>
                                <a:ln w="12700">
                                  <a:noFill/>
                                </a:ln>
                              </wps:spPr>
                              <wps:txbx>
                                <w:txbxContent>
                                  <w:p w14:paraId="2B2DA529">
                                    <w:pPr>
                                      <w:jc w:val="center"/>
                                      <w:rPr>
                                        <w:b/>
                                        <w:i/>
                                        <w:u w:val="single"/>
                                      </w:rPr>
                                    </w:pPr>
                                    <w:r>
                                      <w:rPr>
                                        <w:rFonts w:hint="eastAsia"/>
                                        <w:b/>
                                        <w:i/>
                                        <w:u w:val="single"/>
                                      </w:rPr>
                                      <w:t>医疗废物</w:t>
                                    </w:r>
                                  </w:p>
                                </w:txbxContent>
                              </wps:txbx>
                              <wps:bodyPr lIns="0" tIns="0" rIns="0" bIns="0" upright="1"/>
                            </wps:wsp>
                            <wps:wsp>
                              <wps:cNvPr id="61" name="直接连接符 61"/>
                              <wps:cNvCnPr/>
                              <wps:spPr>
                                <a:xfrm>
                                  <a:off x="9809" y="300299"/>
                                  <a:ext cx="900" cy="0"/>
                                </a:xfrm>
                                <a:prstGeom prst="line">
                                  <a:avLst/>
                                </a:prstGeom>
                                <a:ln w="9525" cap="flat" cmpd="sng">
                                  <a:solidFill>
                                    <a:srgbClr val="000000"/>
                                  </a:solidFill>
                                  <a:prstDash val="dash"/>
                                  <a:headEnd type="none" w="med" len="med"/>
                                  <a:tailEnd type="none" w="med" len="med"/>
                                </a:ln>
                              </wps:spPr>
                              <wps:bodyPr/>
                            </wps:wsp>
                            <wps:wsp>
                              <wps:cNvPr id="62" name="直接连接符 62"/>
                              <wps:cNvCnPr/>
                              <wps:spPr>
                                <a:xfrm>
                                  <a:off x="10709" y="300299"/>
                                  <a:ext cx="0" cy="1210"/>
                                </a:xfrm>
                                <a:prstGeom prst="line">
                                  <a:avLst/>
                                </a:prstGeom>
                                <a:ln w="9525" cap="flat" cmpd="sng">
                                  <a:solidFill>
                                    <a:srgbClr val="000000"/>
                                  </a:solidFill>
                                  <a:prstDash val="dash"/>
                                  <a:headEnd type="none" w="med" len="med"/>
                                  <a:tailEnd type="triangle" w="med" len="med"/>
                                </a:ln>
                              </wps:spPr>
                              <wps:bodyPr/>
                            </wps:wsp>
                            <wps:wsp>
                              <wps:cNvPr id="63" name="直接连接符 63"/>
                              <wps:cNvCnPr/>
                              <wps:spPr>
                                <a:xfrm>
                                  <a:off x="9989" y="301056"/>
                                  <a:ext cx="540" cy="0"/>
                                </a:xfrm>
                                <a:prstGeom prst="line">
                                  <a:avLst/>
                                </a:prstGeom>
                                <a:ln w="9525" cap="flat" cmpd="sng">
                                  <a:solidFill>
                                    <a:srgbClr val="000000"/>
                                  </a:solidFill>
                                  <a:prstDash val="dash"/>
                                  <a:headEnd type="none" w="med" len="med"/>
                                  <a:tailEnd type="none" w="med" len="med"/>
                                </a:ln>
                              </wps:spPr>
                              <wps:bodyPr/>
                            </wps:wsp>
                            <wps:wsp>
                              <wps:cNvPr id="64" name="直接连接符 64"/>
                              <wps:cNvCnPr/>
                              <wps:spPr>
                                <a:xfrm flipV="1">
                                  <a:off x="10529" y="300449"/>
                                  <a:ext cx="0" cy="606"/>
                                </a:xfrm>
                                <a:prstGeom prst="line">
                                  <a:avLst/>
                                </a:prstGeom>
                                <a:ln w="9525" cap="flat" cmpd="sng">
                                  <a:solidFill>
                                    <a:srgbClr val="000000"/>
                                  </a:solidFill>
                                  <a:prstDash val="dash"/>
                                  <a:headEnd type="none" w="med" len="med"/>
                                  <a:tailEnd type="none" w="med" len="med"/>
                                </a:ln>
                              </wps:spPr>
                              <wps:bodyPr/>
                            </wps:wsp>
                            <wps:wsp>
                              <wps:cNvPr id="65" name="直接连接符 65"/>
                              <wps:cNvCnPr/>
                              <wps:spPr>
                                <a:xfrm flipV="1">
                                  <a:off x="10529" y="299678"/>
                                  <a:ext cx="0" cy="454"/>
                                </a:xfrm>
                                <a:prstGeom prst="line">
                                  <a:avLst/>
                                </a:prstGeom>
                                <a:ln w="9525" cap="flat" cmpd="sng">
                                  <a:solidFill>
                                    <a:srgbClr val="000000"/>
                                  </a:solidFill>
                                  <a:prstDash val="dash"/>
                                  <a:headEnd type="none" w="med" len="med"/>
                                  <a:tailEnd type="triangle" w="med" len="med"/>
                                </a:ln>
                              </wps:spPr>
                              <wps:bodyPr/>
                            </wps:wsp>
                            <wps:wsp>
                              <wps:cNvPr id="66" name="任意多边形 66"/>
                              <wps:cNvSpPr/>
                              <wps:spPr>
                                <a:xfrm>
                                  <a:off x="10462" y="300131"/>
                                  <a:ext cx="67" cy="303"/>
                                </a:xfrm>
                                <a:custGeom>
                                  <a:avLst/>
                                  <a:gdLst/>
                                  <a:ahLst/>
                                  <a:cxnLst/>
                                  <a:rect l="0" t="0" r="0" b="0"/>
                                  <a:pathLst>
                                    <a:path w="67" h="312">
                                      <a:moveTo>
                                        <a:pt x="67" y="312"/>
                                      </a:moveTo>
                                      <a:cubicBezTo>
                                        <a:pt x="56" y="287"/>
                                        <a:pt x="0" y="214"/>
                                        <a:pt x="0" y="162"/>
                                      </a:cubicBezTo>
                                      <a:cubicBezTo>
                                        <a:pt x="0" y="110"/>
                                        <a:pt x="53" y="34"/>
                                        <a:pt x="67" y="0"/>
                                      </a:cubicBezTo>
                                    </a:path>
                                  </a:pathLst>
                                </a:custGeom>
                                <a:noFill/>
                                <a:ln w="9525" cap="flat" cmpd="sng">
                                  <a:solidFill>
                                    <a:srgbClr val="000000"/>
                                  </a:solidFill>
                                  <a:prstDash val="dash"/>
                                  <a:headEnd type="none" w="med" len="med"/>
                                  <a:tailEnd type="none" w="med" len="med"/>
                                </a:ln>
                              </wps:spPr>
                              <wps:bodyPr upright="1"/>
                            </wps:wsp>
                            <wps:wsp>
                              <wps:cNvPr id="67" name="文本框 67"/>
                              <wps:cNvSpPr txBox="1"/>
                              <wps:spPr>
                                <a:xfrm>
                                  <a:off x="10169" y="301509"/>
                                  <a:ext cx="881" cy="344"/>
                                </a:xfrm>
                                <a:prstGeom prst="rect">
                                  <a:avLst/>
                                </a:prstGeom>
                                <a:noFill/>
                                <a:ln w="15240" cap="flat" cmpd="sng">
                                  <a:solidFill>
                                    <a:srgbClr val="000000"/>
                                  </a:solidFill>
                                  <a:prstDash val="solid"/>
                                  <a:miter/>
                                  <a:headEnd type="none" w="med" len="med"/>
                                  <a:tailEnd type="none" w="med" len="med"/>
                                </a:ln>
                              </wps:spPr>
                              <wps:txbx>
                                <w:txbxContent>
                                  <w:p w14:paraId="67056F2D">
                                    <w:pPr>
                                      <w:jc w:val="center"/>
                                      <w:rPr>
                                        <w:rFonts w:ascii="Calibri" w:hAnsi="Calibri"/>
                                        <w:b/>
                                        <w:szCs w:val="21"/>
                                      </w:rPr>
                                    </w:pPr>
                                    <w:r>
                                      <w:rPr>
                                        <w:rFonts w:hint="eastAsia" w:ascii="Calibri" w:hAnsi="Calibri"/>
                                        <w:b/>
                                        <w:szCs w:val="21"/>
                                      </w:rPr>
                                      <w:t>污水站</w:t>
                                    </w:r>
                                  </w:p>
                                </w:txbxContent>
                              </wps:txbx>
                              <wps:bodyPr lIns="0" tIns="0" rIns="0" bIns="0" upright="1"/>
                            </wps:wsp>
                            <wps:wsp>
                              <wps:cNvPr id="68" name="直接连接符 68"/>
                              <wps:cNvCnPr/>
                              <wps:spPr>
                                <a:xfrm>
                                  <a:off x="11053" y="301621"/>
                                  <a:ext cx="180" cy="0"/>
                                </a:xfrm>
                                <a:prstGeom prst="line">
                                  <a:avLst/>
                                </a:prstGeom>
                                <a:ln w="9525" cap="flat" cmpd="sng">
                                  <a:solidFill>
                                    <a:srgbClr val="000000"/>
                                  </a:solidFill>
                                  <a:prstDash val="dash"/>
                                  <a:headEnd type="none" w="med" len="med"/>
                                  <a:tailEnd type="none" w="med" len="med"/>
                                </a:ln>
                              </wps:spPr>
                              <wps:bodyPr/>
                            </wps:wsp>
                            <wps:wsp>
                              <wps:cNvPr id="69" name="直接连接符 69"/>
                              <wps:cNvCnPr/>
                              <wps:spPr>
                                <a:xfrm flipH="1" flipV="1">
                                  <a:off x="11235" y="301041"/>
                                  <a:ext cx="14" cy="579"/>
                                </a:xfrm>
                                <a:prstGeom prst="line">
                                  <a:avLst/>
                                </a:prstGeom>
                                <a:ln w="9525" cap="flat" cmpd="sng">
                                  <a:solidFill>
                                    <a:srgbClr val="000000"/>
                                  </a:solidFill>
                                  <a:prstDash val="dash"/>
                                  <a:headEnd type="none" w="med" len="med"/>
                                  <a:tailEnd type="triangle" w="med" len="med"/>
                                </a:ln>
                              </wps:spPr>
                              <wps:bodyPr/>
                            </wps:wsp>
                            <wps:wsp>
                              <wps:cNvPr id="70" name="直接连接符 70"/>
                              <wps:cNvCnPr/>
                              <wps:spPr>
                                <a:xfrm>
                                  <a:off x="11061" y="301749"/>
                                  <a:ext cx="180" cy="0"/>
                                </a:xfrm>
                                <a:prstGeom prst="line">
                                  <a:avLst/>
                                </a:prstGeom>
                                <a:ln w="9525" cap="flat" cmpd="sng">
                                  <a:solidFill>
                                    <a:srgbClr val="000000"/>
                                  </a:solidFill>
                                  <a:prstDash val="dash"/>
                                  <a:headEnd type="none" w="med" len="med"/>
                                  <a:tailEnd type="none" w="med" len="med"/>
                                </a:ln>
                              </wps:spPr>
                              <wps:bodyPr/>
                            </wps:wsp>
                            <wps:wsp>
                              <wps:cNvPr id="71" name="直接连接符 71"/>
                              <wps:cNvCnPr/>
                              <wps:spPr>
                                <a:xfrm>
                                  <a:off x="11241" y="301737"/>
                                  <a:ext cx="0" cy="605"/>
                                </a:xfrm>
                                <a:prstGeom prst="line">
                                  <a:avLst/>
                                </a:prstGeom>
                                <a:ln w="9525" cap="flat" cmpd="sng">
                                  <a:solidFill>
                                    <a:srgbClr val="000000"/>
                                  </a:solidFill>
                                  <a:prstDash val="dash"/>
                                  <a:headEnd type="none" w="med" len="med"/>
                                  <a:tailEnd type="triangle" w="med" len="med"/>
                                </a:ln>
                              </wps:spPr>
                              <wps:bodyPr/>
                            </wps:wsp>
                            <wps:wsp>
                              <wps:cNvPr id="72" name="文本框 72"/>
                              <wps:cNvSpPr txBox="1"/>
                              <wps:spPr>
                                <a:xfrm>
                                  <a:off x="8757" y="304081"/>
                                  <a:ext cx="1620" cy="316"/>
                                </a:xfrm>
                                <a:prstGeom prst="rect">
                                  <a:avLst/>
                                </a:prstGeom>
                                <a:noFill/>
                                <a:ln w="12700" cap="flat" cmpd="sng">
                                  <a:solidFill>
                                    <a:srgbClr val="000000"/>
                                  </a:solidFill>
                                  <a:prstDash val="solid"/>
                                  <a:miter/>
                                  <a:headEnd type="none" w="med" len="med"/>
                                  <a:tailEnd type="none" w="med" len="med"/>
                                </a:ln>
                              </wps:spPr>
                              <wps:txbx>
                                <w:txbxContent>
                                  <w:p w14:paraId="514F5FEF">
                                    <w:pPr>
                                      <w:jc w:val="center"/>
                                      <w:rPr>
                                        <w:rFonts w:ascii="Calibri" w:hAnsi="Calibri"/>
                                        <w:b/>
                                        <w:sz w:val="24"/>
                                      </w:rPr>
                                    </w:pPr>
                                    <w:r>
                                      <w:rPr>
                                        <w:rFonts w:hint="eastAsia" w:ascii="Calibri" w:hAnsi="Calibri"/>
                                        <w:b/>
                                        <w:szCs w:val="21"/>
                                      </w:rPr>
                                      <w:t>病房清扫、消</w:t>
                                    </w:r>
                                    <w:r>
                                      <w:rPr>
                                        <w:rFonts w:hint="eastAsia" w:ascii="Calibri" w:hAnsi="Calibri"/>
                                        <w:b/>
                                        <w:sz w:val="24"/>
                                      </w:rPr>
                                      <w:t>毒</w:t>
                                    </w:r>
                                  </w:p>
                                </w:txbxContent>
                              </wps:txbx>
                              <wps:bodyPr lIns="0" tIns="0" rIns="0" bIns="0" upright="1"/>
                            </wps:wsp>
                            <wps:wsp>
                              <wps:cNvPr id="73" name="直接连接符 73"/>
                              <wps:cNvCnPr/>
                              <wps:spPr>
                                <a:xfrm flipV="1">
                                  <a:off x="8189" y="304233"/>
                                  <a:ext cx="0" cy="303"/>
                                </a:xfrm>
                                <a:prstGeom prst="line">
                                  <a:avLst/>
                                </a:prstGeom>
                                <a:ln w="9525" cap="flat" cmpd="sng">
                                  <a:solidFill>
                                    <a:srgbClr val="000000"/>
                                  </a:solidFill>
                                  <a:prstDash val="dash"/>
                                  <a:headEnd type="none" w="med" len="med"/>
                                  <a:tailEnd type="none" w="med" len="med"/>
                                </a:ln>
                              </wps:spPr>
                              <wps:bodyPr/>
                            </wps:wsp>
                            <wps:wsp>
                              <wps:cNvPr id="74" name="直接连接符 74"/>
                              <wps:cNvCnPr/>
                              <wps:spPr>
                                <a:xfrm>
                                  <a:off x="8189" y="304233"/>
                                  <a:ext cx="540" cy="0"/>
                                </a:xfrm>
                                <a:prstGeom prst="line">
                                  <a:avLst/>
                                </a:prstGeom>
                                <a:ln w="9525" cap="flat" cmpd="sng">
                                  <a:solidFill>
                                    <a:srgbClr val="000000"/>
                                  </a:solidFill>
                                  <a:prstDash val="dash"/>
                                  <a:headEnd type="none" w="med" len="med"/>
                                  <a:tailEnd type="triangle" w="med" len="med"/>
                                </a:ln>
                              </wps:spPr>
                              <wps:bodyPr/>
                            </wps:wsp>
                            <wps:wsp>
                              <wps:cNvPr id="75" name="文本框 75"/>
                              <wps:cNvSpPr txBox="1"/>
                              <wps:spPr>
                                <a:xfrm>
                                  <a:off x="9449" y="303022"/>
                                  <a:ext cx="1056" cy="394"/>
                                </a:xfrm>
                                <a:prstGeom prst="rect">
                                  <a:avLst/>
                                </a:prstGeom>
                                <a:noFill/>
                                <a:ln w="12700">
                                  <a:noFill/>
                                </a:ln>
                              </wps:spPr>
                              <wps:txbx>
                                <w:txbxContent>
                                  <w:p w14:paraId="52B2C793">
                                    <w:pPr>
                                      <w:jc w:val="center"/>
                                      <w:rPr>
                                        <w:b/>
                                        <w:i/>
                                        <w:u w:val="single"/>
                                      </w:rPr>
                                    </w:pPr>
                                    <w:r>
                                      <w:rPr>
                                        <w:rFonts w:hint="eastAsia"/>
                                        <w:b/>
                                        <w:i/>
                                        <w:u w:val="single"/>
                                      </w:rPr>
                                      <w:t>医疗废水</w:t>
                                    </w:r>
                                  </w:p>
                                </w:txbxContent>
                              </wps:txbx>
                              <wps:bodyPr lIns="0" tIns="0" rIns="0" bIns="0" upright="1"/>
                            </wps:wsp>
                            <wps:wsp>
                              <wps:cNvPr id="76" name="直接连接符 76"/>
                              <wps:cNvCnPr/>
                              <wps:spPr>
                                <a:xfrm>
                                  <a:off x="8425" y="303173"/>
                                  <a:ext cx="1080" cy="0"/>
                                </a:xfrm>
                                <a:prstGeom prst="line">
                                  <a:avLst/>
                                </a:prstGeom>
                                <a:ln w="9525" cap="flat" cmpd="sng">
                                  <a:solidFill>
                                    <a:srgbClr val="000000"/>
                                  </a:solidFill>
                                  <a:prstDash val="dash"/>
                                  <a:headEnd type="none" w="med" len="med"/>
                                  <a:tailEnd type="triangle" w="med" len="med"/>
                                </a:ln>
                              </wps:spPr>
                              <wps:bodyPr/>
                            </wps:wsp>
                            <wps:wsp>
                              <wps:cNvPr id="77" name="直接连接符 77"/>
                              <wps:cNvCnPr/>
                              <wps:spPr>
                                <a:xfrm>
                                  <a:off x="8885" y="301047"/>
                                  <a:ext cx="180" cy="0"/>
                                </a:xfrm>
                                <a:prstGeom prst="line">
                                  <a:avLst/>
                                </a:prstGeom>
                                <a:ln w="9525" cap="flat" cmpd="sng">
                                  <a:solidFill>
                                    <a:srgbClr val="000000"/>
                                  </a:solidFill>
                                  <a:prstDash val="solid"/>
                                  <a:headEnd type="none" w="med" len="med"/>
                                  <a:tailEnd type="triangle" w="med" len="med"/>
                                </a:ln>
                              </wps:spPr>
                              <wps:bodyPr/>
                            </wps:wsp>
                            <wps:wsp>
                              <wps:cNvPr id="78" name="直接连接符 78"/>
                              <wps:cNvCnPr/>
                              <wps:spPr>
                                <a:xfrm flipV="1">
                                  <a:off x="9809" y="301660"/>
                                  <a:ext cx="0" cy="1361"/>
                                </a:xfrm>
                                <a:prstGeom prst="line">
                                  <a:avLst/>
                                </a:prstGeom>
                                <a:ln w="9525" cap="flat" cmpd="sng">
                                  <a:solidFill>
                                    <a:srgbClr val="000000"/>
                                  </a:solidFill>
                                  <a:prstDash val="dash"/>
                                  <a:headEnd type="none" w="med" len="med"/>
                                  <a:tailEnd type="none" w="med" len="med"/>
                                </a:ln>
                              </wps:spPr>
                              <wps:bodyPr/>
                            </wps:wsp>
                            <wps:wsp>
                              <wps:cNvPr id="79" name="直接连接符 79"/>
                              <wps:cNvCnPr/>
                              <wps:spPr>
                                <a:xfrm>
                                  <a:off x="9809" y="301660"/>
                                  <a:ext cx="360" cy="0"/>
                                </a:xfrm>
                                <a:prstGeom prst="line">
                                  <a:avLst/>
                                </a:prstGeom>
                                <a:ln w="9525" cap="flat" cmpd="sng">
                                  <a:solidFill>
                                    <a:srgbClr val="000000"/>
                                  </a:solidFill>
                                  <a:prstDash val="dash"/>
                                  <a:headEnd type="none" w="med" len="med"/>
                                  <a:tailEnd type="triangle" w="med" len="med"/>
                                </a:ln>
                              </wps:spPr>
                              <wps:bodyPr/>
                            </wps:wsp>
                            <wps:wsp>
                              <wps:cNvPr id="80" name="文本框 80"/>
                              <wps:cNvSpPr txBox="1"/>
                              <wps:spPr>
                                <a:xfrm>
                                  <a:off x="5451" y="297283"/>
                                  <a:ext cx="720" cy="362"/>
                                </a:xfrm>
                                <a:prstGeom prst="rect">
                                  <a:avLst/>
                                </a:prstGeom>
                                <a:noFill/>
                                <a:ln w="12700">
                                  <a:noFill/>
                                </a:ln>
                              </wps:spPr>
                              <wps:txbx>
                                <w:txbxContent>
                                  <w:p w14:paraId="485BFD77">
                                    <w:pPr>
                                      <w:jc w:val="center"/>
                                      <w:rPr>
                                        <w:b/>
                                      </w:rPr>
                                    </w:pPr>
                                    <w:r>
                                      <w:rPr>
                                        <w:rFonts w:hint="eastAsia"/>
                                        <w:b/>
                                      </w:rPr>
                                      <w:t>热水</w:t>
                                    </w:r>
                                  </w:p>
                                </w:txbxContent>
                              </wps:txbx>
                              <wps:bodyPr lIns="0" tIns="0" rIns="0" bIns="0" upright="1"/>
                            </wps:wsp>
                            <wpg:grpSp>
                              <wpg:cNvPr id="84" name="组合 84"/>
                              <wpg:cNvGrpSpPr/>
                              <wpg:grpSpPr>
                                <a:xfrm>
                                  <a:off x="8786" y="301056"/>
                                  <a:ext cx="122" cy="3025"/>
                                  <a:chOff x="7889" y="540480"/>
                                  <a:chExt cx="122" cy="2988"/>
                                </a:xfrm>
                              </wpg:grpSpPr>
                              <wps:wsp>
                                <wps:cNvPr id="81" name="直接连接符 81"/>
                                <wps:cNvCnPr/>
                                <wps:spPr>
                                  <a:xfrm flipH="1" flipV="1">
                                    <a:off x="8001" y="542720"/>
                                    <a:ext cx="11" cy="748"/>
                                  </a:xfrm>
                                  <a:prstGeom prst="line">
                                    <a:avLst/>
                                  </a:prstGeom>
                                  <a:ln w="9525" cap="flat" cmpd="sng">
                                    <a:solidFill>
                                      <a:srgbClr val="000000"/>
                                    </a:solidFill>
                                    <a:prstDash val="dash"/>
                                    <a:headEnd type="none" w="med" len="med"/>
                                    <a:tailEnd type="none" w="med" len="med"/>
                                  </a:ln>
                                </wps:spPr>
                                <wps:bodyPr/>
                              </wps:wsp>
                              <wps:wsp>
                                <wps:cNvPr id="82" name="直接连接符 82"/>
                                <wps:cNvCnPr/>
                                <wps:spPr>
                                  <a:xfrm flipV="1">
                                    <a:off x="7977" y="540480"/>
                                    <a:ext cx="3" cy="1913"/>
                                  </a:xfrm>
                                  <a:prstGeom prst="line">
                                    <a:avLst/>
                                  </a:prstGeom>
                                  <a:ln w="9525" cap="flat" cmpd="sng">
                                    <a:solidFill>
                                      <a:srgbClr val="000000"/>
                                    </a:solidFill>
                                    <a:prstDash val="dash"/>
                                    <a:headEnd type="none" w="med" len="med"/>
                                    <a:tailEnd type="none" w="med" len="med"/>
                                  </a:ln>
                                </wps:spPr>
                                <wps:bodyPr/>
                              </wps:wsp>
                              <wps:wsp>
                                <wps:cNvPr id="83" name="任意多边形 83"/>
                                <wps:cNvSpPr/>
                                <wps:spPr>
                                  <a:xfrm>
                                    <a:off x="7889" y="542393"/>
                                    <a:ext cx="103" cy="327"/>
                                  </a:xfrm>
                                  <a:custGeom>
                                    <a:avLst/>
                                    <a:gdLst/>
                                    <a:ahLst/>
                                    <a:cxnLst/>
                                    <a:rect l="0" t="0" r="0" b="0"/>
                                    <a:pathLst>
                                      <a:path w="103" h="341">
                                        <a:moveTo>
                                          <a:pt x="87" y="0"/>
                                        </a:moveTo>
                                        <a:cubicBezTo>
                                          <a:pt x="73" y="32"/>
                                          <a:pt x="0" y="134"/>
                                          <a:pt x="3" y="191"/>
                                        </a:cubicBezTo>
                                        <a:cubicBezTo>
                                          <a:pt x="6" y="248"/>
                                          <a:pt x="82" y="310"/>
                                          <a:pt x="103" y="341"/>
                                        </a:cubicBezTo>
                                      </a:path>
                                    </a:pathLst>
                                  </a:custGeom>
                                  <a:noFill/>
                                  <a:ln w="9525" cap="flat" cmpd="sng">
                                    <a:solidFill>
                                      <a:srgbClr val="000000"/>
                                    </a:solidFill>
                                    <a:prstDash val="dash"/>
                                    <a:headEnd type="none" w="med" len="med"/>
                                    <a:tailEnd type="none" w="med" len="med"/>
                                  </a:ln>
                                </wps:spPr>
                                <wps:bodyPr upright="1"/>
                              </wps:wsp>
                            </wpg:grpSp>
                            <wps:wsp>
                              <wps:cNvPr id="85" name="文本框 85"/>
                              <wps:cNvSpPr txBox="1"/>
                              <wps:spPr>
                                <a:xfrm>
                                  <a:off x="5305" y="301087"/>
                                  <a:ext cx="1035" cy="407"/>
                                </a:xfrm>
                                <a:prstGeom prst="rect">
                                  <a:avLst/>
                                </a:prstGeom>
                                <a:noFill/>
                                <a:ln w="12700">
                                  <a:noFill/>
                                </a:ln>
                              </wps:spPr>
                              <wps:txbx>
                                <w:txbxContent>
                                  <w:p w14:paraId="25EE3B63">
                                    <w:pPr>
                                      <w:jc w:val="center"/>
                                      <w:rPr>
                                        <w:b/>
                                      </w:rPr>
                                    </w:pPr>
                                    <w:r>
                                      <w:rPr>
                                        <w:rFonts w:hint="eastAsia"/>
                                        <w:b/>
                                      </w:rPr>
                                      <w:t>医疗护理</w:t>
                                    </w:r>
                                  </w:p>
                                </w:txbxContent>
                              </wps:txbx>
                              <wps:bodyPr lIns="0" tIns="0" rIns="0" bIns="0" upright="1"/>
                            </wps:wsp>
                            <wps:wsp>
                              <wps:cNvPr id="87" name="直接连接符 87"/>
                              <wps:cNvCnPr/>
                              <wps:spPr>
                                <a:xfrm>
                                  <a:off x="7453" y="295647"/>
                                  <a:ext cx="0" cy="1189"/>
                                </a:xfrm>
                                <a:prstGeom prst="line">
                                  <a:avLst/>
                                </a:prstGeom>
                                <a:ln w="19050" cap="flat" cmpd="sng">
                                  <a:solidFill>
                                    <a:srgbClr val="000000"/>
                                  </a:solidFill>
                                  <a:prstDash val="solid"/>
                                  <a:headEnd type="none" w="med" len="med"/>
                                  <a:tailEnd type="triangle" w="lg" len="lg"/>
                                </a:ln>
                              </wps:spPr>
                              <wps:bodyPr/>
                            </wps:wsp>
                            <wps:wsp>
                              <wps:cNvPr id="88" name="直接连接符 88"/>
                              <wps:cNvCnPr/>
                              <wps:spPr>
                                <a:xfrm flipV="1">
                                  <a:off x="8481" y="298068"/>
                                  <a:ext cx="669" cy="14"/>
                                </a:xfrm>
                                <a:prstGeom prst="line">
                                  <a:avLst/>
                                </a:prstGeom>
                                <a:ln w="9525" cap="flat" cmpd="sng">
                                  <a:solidFill>
                                    <a:srgbClr val="000000"/>
                                  </a:solidFill>
                                  <a:prstDash val="dash"/>
                                  <a:headEnd type="none" w="med" len="med"/>
                                  <a:tailEnd type="triangle" w="med" len="med"/>
                                </a:ln>
                              </wps:spPr>
                              <wps:bodyPr/>
                            </wps:wsp>
                            <wps:wsp>
                              <wps:cNvPr id="89" name="文本框 89"/>
                              <wps:cNvSpPr txBox="1"/>
                              <wps:spPr>
                                <a:xfrm>
                                  <a:off x="9023" y="297889"/>
                                  <a:ext cx="1067" cy="376"/>
                                </a:xfrm>
                                <a:prstGeom prst="rect">
                                  <a:avLst/>
                                </a:prstGeom>
                                <a:noFill/>
                                <a:ln w="12700">
                                  <a:noFill/>
                                </a:ln>
                              </wps:spPr>
                              <wps:txbx>
                                <w:txbxContent>
                                  <w:p w14:paraId="54CB3662">
                                    <w:pPr>
                                      <w:jc w:val="center"/>
                                      <w:rPr>
                                        <w:b/>
                                        <w:i/>
                                        <w:u w:val="single"/>
                                      </w:rPr>
                                    </w:pPr>
                                    <w:r>
                                      <w:rPr>
                                        <w:rFonts w:hint="eastAsia"/>
                                        <w:b/>
                                        <w:i/>
                                        <w:u w:val="single"/>
                                      </w:rPr>
                                      <w:t>检验废水</w:t>
                                    </w:r>
                                  </w:p>
                                </w:txbxContent>
                              </wps:txbx>
                              <wps:bodyPr lIns="0" tIns="0" rIns="0" bIns="0" upright="1"/>
                            </wps:wsp>
                            <wps:wsp>
                              <wps:cNvPr id="90" name="文本框 90"/>
                              <wps:cNvSpPr txBox="1"/>
                              <wps:spPr>
                                <a:xfrm>
                                  <a:off x="10894" y="299869"/>
                                  <a:ext cx="957" cy="55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0BF442">
                                    <w:pPr>
                                      <w:spacing w:line="240" w:lineRule="exact"/>
                                      <w:ind w:left="-105" w:leftChars="-50" w:right="-105" w:rightChars="-50"/>
                                      <w:jc w:val="center"/>
                                      <w:rPr>
                                        <w:rFonts w:ascii="Calibri" w:hAnsi="Calibri"/>
                                        <w:sz w:val="18"/>
                                        <w:szCs w:val="18"/>
                                      </w:rPr>
                                    </w:pPr>
                                    <w:r>
                                      <w:rPr>
                                        <w:rFonts w:hint="eastAsia" w:ascii="Calibri" w:hAnsi="Calibri"/>
                                        <w:sz w:val="18"/>
                                        <w:szCs w:val="18"/>
                                      </w:rPr>
                                      <w:t>送资质单</w:t>
                                    </w:r>
                                  </w:p>
                                  <w:p w14:paraId="74D623CB">
                                    <w:pPr>
                                      <w:spacing w:line="240" w:lineRule="exact"/>
                                      <w:ind w:left="-105" w:leftChars="-50" w:right="-105" w:rightChars="-50"/>
                                      <w:jc w:val="center"/>
                                      <w:rPr>
                                        <w:rFonts w:ascii="Calibri" w:hAnsi="Calibri"/>
                                        <w:sz w:val="18"/>
                                        <w:szCs w:val="18"/>
                                      </w:rPr>
                                    </w:pPr>
                                    <w:r>
                                      <w:rPr>
                                        <w:rFonts w:hint="eastAsia" w:ascii="Calibri" w:hAnsi="Calibri"/>
                                        <w:sz w:val="18"/>
                                        <w:szCs w:val="18"/>
                                      </w:rPr>
                                      <w:t>位处理</w:t>
                                    </w:r>
                                  </w:p>
                                </w:txbxContent>
                              </wps:txbx>
                              <wps:bodyPr lIns="0" tIns="0" rIns="0" bIns="0" upright="1"/>
                            </wps:wsp>
                            <wps:wsp>
                              <wps:cNvPr id="91" name="直接连接符 91"/>
                              <wps:cNvCnPr/>
                              <wps:spPr>
                                <a:xfrm flipV="1">
                                  <a:off x="11061" y="301691"/>
                                  <a:ext cx="465" cy="1"/>
                                </a:xfrm>
                                <a:prstGeom prst="line">
                                  <a:avLst/>
                                </a:prstGeom>
                                <a:ln w="9525" cap="flat" cmpd="sng">
                                  <a:solidFill>
                                    <a:srgbClr val="000000"/>
                                  </a:solidFill>
                                  <a:prstDash val="dash"/>
                                  <a:headEnd type="none" w="med" len="med"/>
                                  <a:tailEnd type="triangle" w="med" len="med"/>
                                </a:ln>
                              </wps:spPr>
                              <wps:bodyPr/>
                            </wps:wsp>
                            <wps:wsp>
                              <wps:cNvPr id="92" name="文本框 92"/>
                              <wps:cNvSpPr txBox="1"/>
                              <wps:spPr>
                                <a:xfrm>
                                  <a:off x="11526" y="301527"/>
                                  <a:ext cx="484" cy="813"/>
                                </a:xfrm>
                                <a:prstGeom prst="rect">
                                  <a:avLst/>
                                </a:prstGeom>
                                <a:noFill/>
                                <a:ln w="15240">
                                  <a:noFill/>
                                </a:ln>
                              </wps:spPr>
                              <wps:txbx>
                                <w:txbxContent>
                                  <w:p w14:paraId="156EECEB">
                                    <w:pPr>
                                      <w:rPr>
                                        <w:b/>
                                        <w:i/>
                                        <w:szCs w:val="21"/>
                                      </w:rPr>
                                    </w:pPr>
                                    <w:r>
                                      <w:rPr>
                                        <w:rFonts w:hint="eastAsia"/>
                                        <w:b/>
                                        <w:i/>
                                        <w:szCs w:val="21"/>
                                      </w:rPr>
                                      <w:t>废气</w:t>
                                    </w:r>
                                  </w:p>
                                </w:txbxContent>
                              </wps:txbx>
                              <wps:bodyPr lIns="0" tIns="0" rIns="0" bIns="0" upright="1"/>
                            </wps:wsp>
                            <wps:wsp>
                              <wps:cNvPr id="95" name="任意多边形 95"/>
                              <wps:cNvSpPr/>
                              <wps:spPr>
                                <a:xfrm>
                                  <a:off x="4906" y="301902"/>
                                  <a:ext cx="5870" cy="3159"/>
                                </a:xfrm>
                                <a:custGeom>
                                  <a:avLst/>
                                  <a:gdLst/>
                                  <a:ahLst/>
                                  <a:cxnLst/>
                                  <a:rect l="0" t="0" r="0" b="0"/>
                                  <a:pathLst>
                                    <a:path w="6081" h="3120">
                                      <a:moveTo>
                                        <a:pt x="0" y="1655"/>
                                      </a:moveTo>
                                      <a:lnTo>
                                        <a:pt x="0" y="3116"/>
                                      </a:lnTo>
                                      <a:lnTo>
                                        <a:pt x="6081" y="3120"/>
                                      </a:lnTo>
                                      <a:lnTo>
                                        <a:pt x="6081" y="2850"/>
                                      </a:lnTo>
                                      <a:lnTo>
                                        <a:pt x="6081" y="2835"/>
                                      </a:lnTo>
                                      <a:lnTo>
                                        <a:pt x="6021" y="0"/>
                                      </a:lnTo>
                                    </a:path>
                                  </a:pathLst>
                                </a:custGeom>
                                <a:noFill/>
                                <a:ln w="9525" cap="flat" cmpd="sng">
                                  <a:solidFill>
                                    <a:srgbClr val="000000"/>
                                  </a:solidFill>
                                  <a:prstDash val="dash"/>
                                  <a:headEnd type="none" w="med" len="med"/>
                                  <a:tailEnd type="triangle" w="med" len="med"/>
                                </a:ln>
                              </wps:spPr>
                              <wps:bodyPr upright="1"/>
                            </wps:wsp>
                            <wps:wsp>
                              <wps:cNvPr id="96" name="直接连接符 96"/>
                              <wps:cNvCnPr/>
                              <wps:spPr>
                                <a:xfrm>
                                  <a:off x="6055" y="295704"/>
                                  <a:ext cx="425" cy="353"/>
                                </a:xfrm>
                                <a:prstGeom prst="line">
                                  <a:avLst/>
                                </a:prstGeom>
                                <a:ln w="9525" cap="flat" cmpd="sng">
                                  <a:solidFill>
                                    <a:srgbClr val="000000"/>
                                  </a:solidFill>
                                  <a:prstDash val="dash"/>
                                  <a:headEnd type="none" w="med" len="med"/>
                                  <a:tailEnd type="triangle" w="med" len="med"/>
                                </a:ln>
                              </wps:spPr>
                              <wps:bodyPr/>
                            </wps:wsp>
                            <wps:wsp>
                              <wps:cNvPr id="97" name="文本框 97"/>
                              <wps:cNvSpPr txBox="1"/>
                              <wps:spPr>
                                <a:xfrm>
                                  <a:off x="4311" y="295215"/>
                                  <a:ext cx="982"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055F6B">
                                    <w:pPr>
                                      <w:jc w:val="center"/>
                                      <w:rPr>
                                        <w:b/>
                                        <w:bCs/>
                                      </w:rPr>
                                    </w:pPr>
                                    <w:r>
                                      <w:rPr>
                                        <w:rFonts w:hint="eastAsia"/>
                                        <w:b/>
                                        <w:bCs/>
                                      </w:rPr>
                                      <w:t>入院挂号</w:t>
                                    </w:r>
                                  </w:p>
                                </w:txbxContent>
                              </wps:txbx>
                              <wps:bodyPr lIns="0" tIns="36000" rIns="0" bIns="0" upright="1"/>
                            </wps:wsp>
                            <wps:wsp>
                              <wps:cNvPr id="98" name="直接连接符 98"/>
                              <wps:cNvCnPr/>
                              <wps:spPr>
                                <a:xfrm>
                                  <a:off x="5287" y="295424"/>
                                  <a:ext cx="395" cy="2"/>
                                </a:xfrm>
                                <a:prstGeom prst="line">
                                  <a:avLst/>
                                </a:prstGeom>
                                <a:ln w="9525" cap="flat" cmpd="sng">
                                  <a:solidFill>
                                    <a:srgbClr val="000000"/>
                                  </a:solidFill>
                                  <a:prstDash val="solid"/>
                                  <a:headEnd type="none" w="med" len="med"/>
                                  <a:tailEnd type="triangle" w="med" len="med"/>
                                </a:ln>
                              </wps:spPr>
                              <wps:bodyPr/>
                            </wps:wsp>
                            <wps:wsp>
                              <wps:cNvPr id="99" name="文本框 99"/>
                              <wps:cNvSpPr txBox="1"/>
                              <wps:spPr>
                                <a:xfrm>
                                  <a:off x="5686" y="295223"/>
                                  <a:ext cx="778"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86943E">
                                    <w:pPr>
                                      <w:jc w:val="center"/>
                                      <w:rPr>
                                        <w:b/>
                                        <w:bCs/>
                                      </w:rPr>
                                    </w:pPr>
                                    <w:r>
                                      <w:rPr>
                                        <w:rFonts w:hint="eastAsia"/>
                                        <w:b/>
                                        <w:bCs/>
                                      </w:rPr>
                                      <w:t>门诊</w:t>
                                    </w:r>
                                  </w:p>
                                </w:txbxContent>
                              </wps:txbx>
                              <wps:bodyPr lIns="0" tIns="36000" rIns="0" bIns="0" upright="1"/>
                            </wps:wsp>
                            <wps:wsp>
                              <wps:cNvPr id="100" name="直接连接符 100"/>
                              <wps:cNvCnPr/>
                              <wps:spPr>
                                <a:xfrm>
                                  <a:off x="6464" y="295450"/>
                                  <a:ext cx="496" cy="0"/>
                                </a:xfrm>
                                <a:prstGeom prst="line">
                                  <a:avLst/>
                                </a:prstGeom>
                                <a:ln w="9525" cap="flat" cmpd="sng">
                                  <a:solidFill>
                                    <a:srgbClr val="000000"/>
                                  </a:solidFill>
                                  <a:prstDash val="solid"/>
                                  <a:headEnd type="none" w="med" len="med"/>
                                  <a:tailEnd type="triangle" w="med" len="med"/>
                                </a:ln>
                              </wps:spPr>
                              <wps:bodyPr/>
                            </wps:wsp>
                            <wps:wsp>
                              <wps:cNvPr id="101" name="文本框 101"/>
                              <wps:cNvSpPr txBox="1"/>
                              <wps:spPr>
                                <a:xfrm>
                                  <a:off x="6960" y="295223"/>
                                  <a:ext cx="868"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8AB44F">
                                    <w:pPr>
                                      <w:jc w:val="center"/>
                                      <w:rPr>
                                        <w:rFonts w:ascii="Calibri" w:hAnsi="Calibri"/>
                                        <w:b/>
                                        <w:szCs w:val="21"/>
                                      </w:rPr>
                                    </w:pPr>
                                    <w:r>
                                      <w:rPr>
                                        <w:rFonts w:hint="eastAsia" w:ascii="Calibri" w:hAnsi="Calibri"/>
                                        <w:b/>
                                        <w:szCs w:val="21"/>
                                      </w:rPr>
                                      <w:t>检查</w:t>
                                    </w:r>
                                  </w:p>
                                </w:txbxContent>
                              </wps:txbx>
                              <wps:bodyPr lIns="0" tIns="36000" rIns="0" bIns="0" upright="1"/>
                            </wps:wsp>
                            <wps:wsp>
                              <wps:cNvPr id="102" name="文本框 102"/>
                              <wps:cNvSpPr txBox="1"/>
                              <wps:spPr>
                                <a:xfrm>
                                  <a:off x="8357" y="295185"/>
                                  <a:ext cx="868" cy="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ACCA6E">
                                    <w:pPr>
                                      <w:jc w:val="center"/>
                                      <w:rPr>
                                        <w:rFonts w:ascii="Calibri" w:hAnsi="Calibri"/>
                                        <w:b/>
                                        <w:szCs w:val="21"/>
                                      </w:rPr>
                                    </w:pPr>
                                    <w:r>
                                      <w:rPr>
                                        <w:rFonts w:hint="eastAsia" w:ascii="Calibri" w:hAnsi="Calibri"/>
                                        <w:b/>
                                        <w:szCs w:val="21"/>
                                      </w:rPr>
                                      <w:t>取药</w:t>
                                    </w:r>
                                  </w:p>
                                </w:txbxContent>
                              </wps:txbx>
                              <wps:bodyPr lIns="0" tIns="36000" rIns="0" bIns="0" upright="1"/>
                            </wps:wsp>
                            <wps:wsp>
                              <wps:cNvPr id="103" name="直接连接符 103"/>
                              <wps:cNvCnPr/>
                              <wps:spPr>
                                <a:xfrm>
                                  <a:off x="9225" y="295412"/>
                                  <a:ext cx="496" cy="0"/>
                                </a:xfrm>
                                <a:prstGeom prst="line">
                                  <a:avLst/>
                                </a:prstGeom>
                                <a:ln w="9525" cap="flat" cmpd="sng">
                                  <a:solidFill>
                                    <a:srgbClr val="000000"/>
                                  </a:solidFill>
                                  <a:prstDash val="solid"/>
                                  <a:headEnd type="none" w="med" len="med"/>
                                  <a:tailEnd type="triangle" w="med" len="med"/>
                                </a:ln>
                              </wps:spPr>
                              <wps:bodyPr/>
                            </wps:wsp>
                            <wps:wsp>
                              <wps:cNvPr id="104" name="文本框 104"/>
                              <wps:cNvSpPr txBox="1"/>
                              <wps:spPr>
                                <a:xfrm>
                                  <a:off x="9566" y="295250"/>
                                  <a:ext cx="868" cy="456"/>
                                </a:xfrm>
                                <a:prstGeom prst="rect">
                                  <a:avLst/>
                                </a:prstGeom>
                                <a:noFill/>
                                <a:ln>
                                  <a:noFill/>
                                </a:ln>
                              </wps:spPr>
                              <wps:txbx>
                                <w:txbxContent>
                                  <w:p w14:paraId="2F5CFDE7">
                                    <w:pPr>
                                      <w:jc w:val="center"/>
                                      <w:rPr>
                                        <w:b/>
                                        <w:bCs/>
                                      </w:rPr>
                                    </w:pPr>
                                    <w:r>
                                      <w:rPr>
                                        <w:rFonts w:hint="eastAsia"/>
                                        <w:b/>
                                        <w:bCs/>
                                      </w:rPr>
                                      <w:t>离院</w:t>
                                    </w:r>
                                  </w:p>
                                </w:txbxContent>
                              </wps:txbx>
                              <wps:bodyPr lIns="0" tIns="0" rIns="0" bIns="0" upright="1"/>
                            </wps:wsp>
                            <wps:wsp>
                              <wps:cNvPr id="106" name="文本框 106"/>
                              <wps:cNvSpPr txBox="1"/>
                              <wps:spPr>
                                <a:xfrm>
                                  <a:off x="4576" y="294145"/>
                                  <a:ext cx="743" cy="455"/>
                                </a:xfrm>
                                <a:prstGeom prst="rect">
                                  <a:avLst/>
                                </a:prstGeom>
                                <a:noFill/>
                                <a:ln>
                                  <a:noFill/>
                                </a:ln>
                              </wps:spPr>
                              <wps:txbx>
                                <w:txbxContent>
                                  <w:p w14:paraId="5D409065">
                                    <w:pPr>
                                      <w:jc w:val="center"/>
                                      <w:rPr>
                                        <w:b/>
                                        <w:bCs/>
                                      </w:rPr>
                                    </w:pPr>
                                    <w:r>
                                      <w:rPr>
                                        <w:rFonts w:hint="eastAsia"/>
                                        <w:b/>
                                        <w:bCs/>
                                      </w:rPr>
                                      <w:t>病人</w:t>
                                    </w:r>
                                  </w:p>
                                </w:txbxContent>
                              </wps:txbx>
                              <wps:bodyPr lIns="0" tIns="0" rIns="0" bIns="0" upright="1"/>
                            </wps:wsp>
                            <wps:wsp>
                              <wps:cNvPr id="107" name="直接连接符 107"/>
                              <wps:cNvCnPr/>
                              <wps:spPr>
                                <a:xfrm flipV="1">
                                  <a:off x="6045" y="294556"/>
                                  <a:ext cx="645" cy="667"/>
                                </a:xfrm>
                                <a:prstGeom prst="line">
                                  <a:avLst/>
                                </a:prstGeom>
                                <a:ln w="9525" cap="flat" cmpd="sng">
                                  <a:solidFill>
                                    <a:srgbClr val="000000"/>
                                  </a:solidFill>
                                  <a:prstDash val="sysDot"/>
                                  <a:headEnd type="none" w="med" len="med"/>
                                  <a:tailEnd type="triangle" w="med" len="med"/>
                                </a:ln>
                              </wps:spPr>
                              <wps:bodyPr/>
                            </wps:wsp>
                            <wps:wsp>
                              <wps:cNvPr id="108" name="直接连接符 108"/>
                              <wps:cNvCnPr/>
                              <wps:spPr>
                                <a:xfrm flipH="1" flipV="1">
                                  <a:off x="6776" y="294544"/>
                                  <a:ext cx="283" cy="679"/>
                                </a:xfrm>
                                <a:prstGeom prst="line">
                                  <a:avLst/>
                                </a:prstGeom>
                                <a:ln w="9525" cap="flat" cmpd="sng">
                                  <a:solidFill>
                                    <a:srgbClr val="000000"/>
                                  </a:solidFill>
                                  <a:prstDash val="sysDot"/>
                                  <a:headEnd type="none" w="med" len="med"/>
                                  <a:tailEnd type="triangle" w="med" len="med"/>
                                </a:ln>
                              </wps:spPr>
                              <wps:bodyPr/>
                            </wps:wsp>
                            <wps:wsp>
                              <wps:cNvPr id="109" name="直接连接符 109"/>
                              <wps:cNvCnPr/>
                              <wps:spPr>
                                <a:xfrm>
                                  <a:off x="7845" y="295412"/>
                                  <a:ext cx="496" cy="0"/>
                                </a:xfrm>
                                <a:prstGeom prst="line">
                                  <a:avLst/>
                                </a:prstGeom>
                                <a:ln w="9525" cap="flat" cmpd="sng">
                                  <a:solidFill>
                                    <a:srgbClr val="000000"/>
                                  </a:solidFill>
                                  <a:prstDash val="solid"/>
                                  <a:headEnd type="none" w="med" len="med"/>
                                  <a:tailEnd type="triangle" w="med" len="med"/>
                                </a:ln>
                              </wps:spPr>
                              <wps:bodyPr/>
                            </wps:wsp>
                            <wps:wsp>
                              <wps:cNvPr id="110" name="直接连接符 110"/>
                              <wps:cNvCnPr/>
                              <wps:spPr>
                                <a:xfrm flipH="1">
                                  <a:off x="6751" y="295677"/>
                                  <a:ext cx="544" cy="380"/>
                                </a:xfrm>
                                <a:prstGeom prst="line">
                                  <a:avLst/>
                                </a:prstGeom>
                                <a:ln w="9525" cap="flat" cmpd="sng">
                                  <a:solidFill>
                                    <a:srgbClr val="000000"/>
                                  </a:solidFill>
                                  <a:prstDash val="dash"/>
                                  <a:headEnd type="none" w="med" len="med"/>
                                  <a:tailEnd type="triangle" w="med" len="med"/>
                                </a:ln>
                              </wps:spPr>
                              <wps:bodyPr/>
                            </wps:wsp>
                            <wps:wsp>
                              <wps:cNvPr id="111" name="直接连接符 111"/>
                              <wps:cNvCnPr/>
                              <wps:spPr>
                                <a:xfrm flipV="1">
                                  <a:off x="7126" y="294388"/>
                                  <a:ext cx="859" cy="2"/>
                                </a:xfrm>
                                <a:prstGeom prst="line">
                                  <a:avLst/>
                                </a:prstGeom>
                                <a:ln w="9525" cap="flat" cmpd="sng">
                                  <a:solidFill>
                                    <a:srgbClr val="000000"/>
                                  </a:solidFill>
                                  <a:prstDash val="dash"/>
                                  <a:headEnd type="none" w="med" len="med"/>
                                  <a:tailEnd type="triangle" w="med" len="med"/>
                                </a:ln>
                              </wps:spPr>
                              <wps:bodyPr/>
                            </wps:wsp>
                            <wps:wsp>
                              <wps:cNvPr id="112" name="文本框 112"/>
                              <wps:cNvSpPr txBox="1"/>
                              <wps:spPr>
                                <a:xfrm>
                                  <a:off x="7949" y="294257"/>
                                  <a:ext cx="2587" cy="343"/>
                                </a:xfrm>
                                <a:prstGeom prst="rect">
                                  <a:avLst/>
                                </a:prstGeom>
                                <a:noFill/>
                                <a:ln w="12700">
                                  <a:noFill/>
                                </a:ln>
                              </wps:spPr>
                              <wps:txbx>
                                <w:txbxContent>
                                  <w:p w14:paraId="41035E2E">
                                    <w:pPr>
                                      <w:rPr>
                                        <w:rFonts w:ascii="Calibri" w:hAnsi="Calibri"/>
                                        <w:sz w:val="18"/>
                                        <w:szCs w:val="18"/>
                                      </w:rPr>
                                    </w:pPr>
                                    <w:r>
                                      <w:rPr>
                                        <w:rFonts w:hint="eastAsia" w:ascii="Calibri" w:hAnsi="Calibri"/>
                                        <w:sz w:val="18"/>
                                        <w:szCs w:val="18"/>
                                      </w:rPr>
                                      <w:t>收集后委托环卫部门处理</w:t>
                                    </w:r>
                                  </w:p>
                                </w:txbxContent>
                              </wps:txbx>
                              <wps:bodyPr lIns="0" tIns="0" rIns="0" bIns="0" upright="1"/>
                            </wps:wsp>
                            <wps:wsp>
                              <wps:cNvPr id="113" name="文本框 113"/>
                              <wps:cNvSpPr txBox="1"/>
                              <wps:spPr>
                                <a:xfrm>
                                  <a:off x="6050" y="296043"/>
                                  <a:ext cx="1116" cy="317"/>
                                </a:xfrm>
                                <a:prstGeom prst="rect">
                                  <a:avLst/>
                                </a:prstGeom>
                                <a:noFill/>
                                <a:ln>
                                  <a:noFill/>
                                </a:ln>
                              </wps:spPr>
                              <wps:txbx>
                                <w:txbxContent>
                                  <w:p w14:paraId="688DA1E9">
                                    <w:pPr>
                                      <w:jc w:val="center"/>
                                      <w:rPr>
                                        <w:b/>
                                        <w:i/>
                                        <w:u w:val="single"/>
                                      </w:rPr>
                                    </w:pPr>
                                    <w:r>
                                      <w:rPr>
                                        <w:rFonts w:hint="eastAsia"/>
                                        <w:b/>
                                        <w:i/>
                                        <w:u w:val="single"/>
                                      </w:rPr>
                                      <w:t>污 水</w:t>
                                    </w:r>
                                  </w:p>
                                </w:txbxContent>
                              </wps:txbx>
                              <wps:bodyPr lIns="0" tIns="0" rIns="0" bIns="0" upright="1"/>
                            </wps:wsp>
                            <wps:wsp>
                              <wps:cNvPr id="114" name="文本框 114"/>
                              <wps:cNvSpPr txBox="1"/>
                              <wps:spPr>
                                <a:xfrm>
                                  <a:off x="6186" y="294269"/>
                                  <a:ext cx="1115" cy="389"/>
                                </a:xfrm>
                                <a:prstGeom prst="rect">
                                  <a:avLst/>
                                </a:prstGeom>
                                <a:noFill/>
                                <a:ln>
                                  <a:noFill/>
                                </a:ln>
                              </wps:spPr>
                              <wps:txbx>
                                <w:txbxContent>
                                  <w:p w14:paraId="7A2D6153">
                                    <w:pPr>
                                      <w:jc w:val="center"/>
                                      <w:rPr>
                                        <w:rFonts w:ascii="Calibri" w:hAnsi="Calibri"/>
                                        <w:b/>
                                        <w:szCs w:val="21"/>
                                      </w:rPr>
                                    </w:pPr>
                                    <w:r>
                                      <w:rPr>
                                        <w:rFonts w:hint="eastAsia" w:ascii="Calibri" w:hAnsi="Calibri"/>
                                        <w:b/>
                                        <w:szCs w:val="21"/>
                                      </w:rPr>
                                      <w:t>固 废</w:t>
                                    </w:r>
                                  </w:p>
                                </w:txbxContent>
                              </wps:txbx>
                              <wps:bodyPr lIns="0" tIns="0" rIns="0" bIns="0" upright="1"/>
                            </wps:wsp>
                            <wps:wsp>
                              <wps:cNvPr id="115" name="任意多边形 115"/>
                              <wps:cNvSpPr/>
                              <wps:spPr>
                                <a:xfrm>
                                  <a:off x="6891" y="296202"/>
                                  <a:ext cx="3363" cy="5296"/>
                                </a:xfrm>
                                <a:custGeom>
                                  <a:avLst/>
                                  <a:gdLst/>
                                  <a:ahLst/>
                                  <a:cxnLst/>
                                  <a:rect l="0" t="0" r="0" b="0"/>
                                  <a:pathLst>
                                    <a:path w="3363" h="5220">
                                      <a:moveTo>
                                        <a:pt x="0" y="0"/>
                                      </a:moveTo>
                                      <a:lnTo>
                                        <a:pt x="3360" y="0"/>
                                      </a:lnTo>
                                      <a:lnTo>
                                        <a:pt x="3363" y="5220"/>
                                      </a:lnTo>
                                    </a:path>
                                  </a:pathLst>
                                </a:custGeom>
                                <a:noFill/>
                                <a:ln w="9525" cap="flat" cmpd="sng">
                                  <a:solidFill>
                                    <a:srgbClr val="000000"/>
                                  </a:solidFill>
                                  <a:prstDash val="dash"/>
                                  <a:headEnd type="none" w="med" len="med"/>
                                  <a:tailEnd type="triangle" w="med" len="med"/>
                                </a:ln>
                              </wps:spPr>
                              <wps:bodyPr upright="1"/>
                            </wps:wsp>
                            <wps:wsp>
                              <wps:cNvPr id="116" name="文本框 116"/>
                              <wps:cNvSpPr txBox="1"/>
                              <wps:spPr>
                                <a:xfrm>
                                  <a:off x="8927" y="298194"/>
                                  <a:ext cx="1308" cy="482"/>
                                </a:xfrm>
                                <a:prstGeom prst="rect">
                                  <a:avLst/>
                                </a:prstGeom>
                                <a:noFill/>
                                <a:ln w="12700">
                                  <a:noFill/>
                                </a:ln>
                              </wps:spPr>
                              <wps:txbx>
                                <w:txbxContent>
                                  <w:p w14:paraId="6797C54E">
                                    <w:pPr>
                                      <w:jc w:val="center"/>
                                      <w:rPr>
                                        <w:b/>
                                        <w:i/>
                                        <w:u w:val="single"/>
                                      </w:rPr>
                                    </w:pPr>
                                    <w:r>
                                      <w:rPr>
                                        <w:rFonts w:hint="eastAsia"/>
                                        <w:b/>
                                        <w:i/>
                                        <w:u w:val="single"/>
                                      </w:rPr>
                                      <w:t>医疗废物</w:t>
                                    </w:r>
                                  </w:p>
                                </w:txbxContent>
                              </wps:txbx>
                              <wps:bodyPr lIns="0" tIns="0" rIns="0" bIns="0" upright="1"/>
                            </wps:wsp>
                            <wps:wsp>
                              <wps:cNvPr id="117" name="直接连接符 117"/>
                              <wps:cNvCnPr/>
                              <wps:spPr>
                                <a:xfrm flipV="1">
                                  <a:off x="8511" y="298356"/>
                                  <a:ext cx="669" cy="14"/>
                                </a:xfrm>
                                <a:prstGeom prst="line">
                                  <a:avLst/>
                                </a:prstGeom>
                                <a:ln w="9525" cap="flat" cmpd="sng">
                                  <a:solidFill>
                                    <a:srgbClr val="000000"/>
                                  </a:solidFill>
                                  <a:prstDash val="dash"/>
                                  <a:headEnd type="none" w="med" len="med"/>
                                  <a:tailEnd type="triangle" w="med" len="med"/>
                                </a:ln>
                              </wps:spPr>
                              <wps:bodyPr/>
                            </wps:wsp>
                            <wpg:grpSp>
                              <wpg:cNvPr id="120" name="组合 120"/>
                              <wpg:cNvGrpSpPr/>
                              <wpg:grpSpPr>
                                <a:xfrm>
                                  <a:off x="10079" y="298363"/>
                                  <a:ext cx="602" cy="930"/>
                                  <a:chOff x="9182" y="537821"/>
                                  <a:chExt cx="602" cy="919"/>
                                </a:xfrm>
                              </wpg:grpSpPr>
                              <wps:wsp>
                                <wps:cNvPr id="118" name="直接连接符 118"/>
                                <wps:cNvCnPr/>
                                <wps:spPr>
                                  <a:xfrm>
                                    <a:off x="9182" y="537821"/>
                                    <a:ext cx="585" cy="1"/>
                                  </a:xfrm>
                                  <a:prstGeom prst="line">
                                    <a:avLst/>
                                  </a:prstGeom>
                                  <a:ln w="9525" cap="flat" cmpd="sng">
                                    <a:solidFill>
                                      <a:srgbClr val="000000"/>
                                    </a:solidFill>
                                    <a:prstDash val="dash"/>
                                    <a:headEnd type="none" w="med" len="med"/>
                                    <a:tailEnd type="none" w="med" len="med"/>
                                  </a:ln>
                                </wps:spPr>
                                <wps:bodyPr/>
                              </wps:wsp>
                              <wps:wsp>
                                <wps:cNvPr id="119" name="直接连接符 119"/>
                                <wps:cNvCnPr/>
                                <wps:spPr>
                                  <a:xfrm flipH="1">
                                    <a:off x="9783" y="537859"/>
                                    <a:ext cx="1" cy="881"/>
                                  </a:xfrm>
                                  <a:prstGeom prst="line">
                                    <a:avLst/>
                                  </a:prstGeom>
                                  <a:ln w="9525" cap="flat" cmpd="sng">
                                    <a:solidFill>
                                      <a:srgbClr val="000000"/>
                                    </a:solidFill>
                                    <a:prstDash val="dash"/>
                                    <a:headEnd type="none" w="med" len="med"/>
                                    <a:tailEnd type="triangle" w="med" len="med"/>
                                  </a:ln>
                                </wps:spPr>
                                <wps:bodyPr/>
                              </wps:wsp>
                            </wpg:grpSp>
                            <wps:wsp>
                              <wps:cNvPr id="121" name="直接连接符 121"/>
                              <wps:cNvCnPr/>
                              <wps:spPr>
                                <a:xfrm>
                                  <a:off x="10005" y="298063"/>
                                  <a:ext cx="331" cy="7"/>
                                </a:xfrm>
                                <a:prstGeom prst="line">
                                  <a:avLst/>
                                </a:prstGeom>
                                <a:ln w="9525" cap="flat" cmpd="sng">
                                  <a:solidFill>
                                    <a:srgbClr val="000000"/>
                                  </a:solidFill>
                                  <a:prstDash val="dash"/>
                                  <a:headEnd type="none" w="med" len="med"/>
                                  <a:tailEnd type="triangle" w="med" len="med"/>
                                </a:ln>
                              </wps:spPr>
                              <wps:bodyPr/>
                            </wps:wsp>
                            <wps:wsp>
                              <wps:cNvPr id="122" name="文本框 122"/>
                              <wps:cNvSpPr txBox="1"/>
                              <wps:spPr>
                                <a:xfrm>
                                  <a:off x="10344" y="297878"/>
                                  <a:ext cx="688" cy="29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1CF54F">
                                    <w:pPr>
                                      <w:jc w:val="center"/>
                                      <w:rPr>
                                        <w:rFonts w:ascii="Calibri" w:hAnsi="Calibri"/>
                                        <w:sz w:val="18"/>
                                        <w:szCs w:val="18"/>
                                      </w:rPr>
                                    </w:pPr>
                                    <w:r>
                                      <w:rPr>
                                        <w:rFonts w:hint="eastAsia" w:ascii="Calibri" w:hAnsi="Calibri"/>
                                        <w:sz w:val="18"/>
                                        <w:szCs w:val="18"/>
                                      </w:rPr>
                                      <w:t>预处理</w:t>
                                    </w:r>
                                  </w:p>
                                </w:txbxContent>
                              </wps:txbx>
                              <wps:bodyPr lIns="0" tIns="0" rIns="0" bIns="0" upright="1"/>
                            </wps:wsp>
                            <wps:wsp>
                              <wps:cNvPr id="123" name="直接连接符 123"/>
                              <wps:cNvCnPr/>
                              <wps:spPr>
                                <a:xfrm flipH="1" flipV="1">
                                  <a:off x="10708" y="297580"/>
                                  <a:ext cx="3" cy="299"/>
                                </a:xfrm>
                                <a:prstGeom prst="line">
                                  <a:avLst/>
                                </a:prstGeom>
                                <a:ln w="9525" cap="flat" cmpd="sng">
                                  <a:solidFill>
                                    <a:srgbClr val="000000"/>
                                  </a:solidFill>
                                  <a:prstDash val="dash"/>
                                  <a:headEnd type="none" w="med" len="med"/>
                                  <a:tailEnd type="triangle" w="med" len="med"/>
                                </a:ln>
                              </wps:spPr>
                              <wps:bodyPr/>
                            </wps:wsp>
                            <wps:wsp>
                              <wps:cNvPr id="124" name="文本框 124"/>
                              <wps:cNvSpPr txBox="1"/>
                              <wps:spPr>
                                <a:xfrm>
                                  <a:off x="10361" y="297217"/>
                                  <a:ext cx="688" cy="36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5F6C19">
                                    <w:pPr>
                                      <w:jc w:val="center"/>
                                      <w:rPr>
                                        <w:rFonts w:ascii="Calibri" w:hAnsi="Calibri"/>
                                        <w:sz w:val="18"/>
                                        <w:szCs w:val="18"/>
                                      </w:rPr>
                                    </w:pPr>
                                    <w:r>
                                      <w:rPr>
                                        <w:rFonts w:hint="eastAsia" w:ascii="Calibri" w:hAnsi="Calibri"/>
                                        <w:sz w:val="18"/>
                                        <w:szCs w:val="18"/>
                                      </w:rPr>
                                      <w:t>污水站</w:t>
                                    </w:r>
                                  </w:p>
                                </w:txbxContent>
                              </wps:txbx>
                              <wps:bodyPr lIns="0" tIns="0" rIns="0" bIns="0" upright="1"/>
                            </wps:wsp>
                            <wps:wsp>
                              <wps:cNvPr id="125" name="直接连接符 125"/>
                              <wps:cNvCnPr/>
                              <wps:spPr>
                                <a:xfrm>
                                  <a:off x="11217" y="299458"/>
                                  <a:ext cx="292" cy="1"/>
                                </a:xfrm>
                                <a:prstGeom prst="line">
                                  <a:avLst/>
                                </a:prstGeom>
                                <a:ln w="12700" cap="flat" cmpd="sng">
                                  <a:solidFill>
                                    <a:srgbClr val="000000"/>
                                  </a:solidFill>
                                  <a:prstDash val="dash"/>
                                  <a:headEnd type="none" w="med" len="med"/>
                                  <a:tailEnd type="none" w="med" len="med"/>
                                </a:ln>
                              </wps:spPr>
                              <wps:bodyPr/>
                            </wps:wsp>
                            <wps:wsp>
                              <wps:cNvPr id="126" name="直接连接符 126"/>
                              <wps:cNvCnPr/>
                              <wps:spPr>
                                <a:xfrm>
                                  <a:off x="11511" y="299507"/>
                                  <a:ext cx="0" cy="318"/>
                                </a:xfrm>
                                <a:prstGeom prst="line">
                                  <a:avLst/>
                                </a:prstGeom>
                                <a:ln w="12700" cap="flat" cmpd="sng">
                                  <a:solidFill>
                                    <a:srgbClr val="000000"/>
                                  </a:solidFill>
                                  <a:prstDash val="dash"/>
                                  <a:headEnd type="none" w="med" len="med"/>
                                  <a:tailEnd type="triangle" w="med" len="med"/>
                                </a:ln>
                              </wps:spPr>
                              <wps:bodyPr/>
                            </wps:wsp>
                            <wps:wsp>
                              <wps:cNvPr id="7" name="直接连接符 7"/>
                              <wps:cNvCnPr/>
                              <wps:spPr>
                                <a:xfrm>
                                  <a:off x="8425" y="304835"/>
                                  <a:ext cx="1080" cy="0"/>
                                </a:xfrm>
                                <a:prstGeom prst="line">
                                  <a:avLst/>
                                </a:prstGeom>
                                <a:ln w="9525" cap="flat" cmpd="sng">
                                  <a:solidFill>
                                    <a:srgbClr val="000000"/>
                                  </a:solidFill>
                                  <a:prstDash val="dash"/>
                                  <a:headEnd type="none" w="med" len="med"/>
                                  <a:tailEnd type="triangle" w="med" len="med"/>
                                </a:ln>
                              </wps:spPr>
                              <wps:bodyPr/>
                            </wps:wsp>
                            <wps:wsp>
                              <wps:cNvPr id="8" name="文本框 8"/>
                              <wps:cNvSpPr txBox="1"/>
                              <wps:spPr>
                                <a:xfrm>
                                  <a:off x="9441" y="304449"/>
                                  <a:ext cx="996" cy="663"/>
                                </a:xfrm>
                                <a:prstGeom prst="rect">
                                  <a:avLst/>
                                </a:prstGeom>
                                <a:noFill/>
                                <a:ln w="12700">
                                  <a:noFill/>
                                </a:ln>
                              </wps:spPr>
                              <wps:txbx>
                                <w:txbxContent>
                                  <w:p w14:paraId="095773DF">
                                    <w:pPr>
                                      <w:jc w:val="center"/>
                                      <w:rPr>
                                        <w:b/>
                                        <w:sz w:val="18"/>
                                        <w:szCs w:val="18"/>
                                      </w:rPr>
                                    </w:pPr>
                                    <w:r>
                                      <w:rPr>
                                        <w:rFonts w:hint="eastAsia"/>
                                        <w:b/>
                                        <w:sz w:val="18"/>
                                        <w:szCs w:val="18"/>
                                      </w:rPr>
                                      <w:t>委托专业机构清洗</w:t>
                                    </w:r>
                                  </w:p>
                                </w:txbxContent>
                              </wps:txbx>
                              <wps:bodyPr lIns="0" tIns="0" rIns="0" bIns="0" upright="1"/>
                            </wps:wsp>
                            <wps:wsp>
                              <wps:cNvPr id="139" name="文本框 139"/>
                              <wps:cNvSpPr txBox="1"/>
                              <wps:spPr>
                                <a:xfrm>
                                  <a:off x="8415" y="304541"/>
                                  <a:ext cx="996" cy="451"/>
                                </a:xfrm>
                                <a:prstGeom prst="rect">
                                  <a:avLst/>
                                </a:prstGeom>
                                <a:noFill/>
                                <a:ln w="12700">
                                  <a:noFill/>
                                </a:ln>
                              </wps:spPr>
                              <wps:txbx>
                                <w:txbxContent>
                                  <w:p w14:paraId="62AF29FC">
                                    <w:pPr>
                                      <w:jc w:val="center"/>
                                      <w:rPr>
                                        <w:b/>
                                      </w:rPr>
                                    </w:pPr>
                                    <w:r>
                                      <w:rPr>
                                        <w:rFonts w:hint="eastAsia"/>
                                        <w:b/>
                                      </w:rPr>
                                      <w:t>被服</w:t>
                                    </w:r>
                                  </w:p>
                                </w:txbxContent>
                              </wps:txbx>
                              <wps:bodyPr lIns="0" tIns="0" rIns="0" bIns="0" upright="1"/>
                            </wps:wsp>
                            <wps:wsp>
                              <wps:cNvPr id="175" name="直接连接符 175"/>
                              <wps:cNvCnPr/>
                              <wps:spPr>
                                <a:xfrm>
                                  <a:off x="4912" y="294544"/>
                                  <a:ext cx="0" cy="671"/>
                                </a:xfrm>
                                <a:prstGeom prst="line">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3.3pt;margin-top:6pt;height:472.95pt;width:379.6pt;z-index:251670528;mso-width-relative:page;mso-height-relative:page;" coordorigin="3529,294145" coordsize="8481,10967" o:gfxdata="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">
                      <o:lock v:ext="edit" aspectratio="f"/>
                      <v:shape id="_x0000_s1026" o:spid="_x0000_s1026" o:spt="202" type="#_x0000_t202" style="position:absolute;left:10982;top:300738;height:338;width:607;" filled="f" stroked="f" coordsize="21600,21600" o:gfxdata="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RH168AAAA&#10;2gAAAA8AAAAAAAAAAQAgAAAAIgAAAGRycy9kb3ducmV2LnhtbFBLAQIUABQAAAAIAIdO4kAzLwWe&#10;OwAAADkAAAAQAAAAAAAAAAEAIAAAAAsBAABkcnMvc2hhcGV4bWwueG1sUEsFBgAAAAAGAAYAWwEA&#10;ALUDAAAAAA==&#10;">
                        <v:fill on="f" focussize="0,0"/>
                        <v:stroke on="f" weight="1.2pt"/>
                        <v:imagedata o:title=""/>
                        <o:lock v:ext="edit" aspectratio="f"/>
                        <v:textbox inset="0mm,0mm,0mm,0mm">
                          <w:txbxContent>
                            <w:p w14:paraId="779E936A">
                              <w:pPr>
                                <w:rPr>
                                  <w:b/>
                                  <w:i/>
                                  <w:szCs w:val="21"/>
                                </w:rPr>
                              </w:pPr>
                              <w:r>
                                <w:rPr>
                                  <w:rFonts w:hint="eastAsia"/>
                                  <w:b/>
                                  <w:i/>
                                  <w:szCs w:val="21"/>
                                </w:rPr>
                                <w:t>污泥</w:t>
                              </w:r>
                            </w:p>
                          </w:txbxContent>
                        </v:textbox>
                      </v:shape>
                      <v:line id="_x0000_s1026" o:spid="_x0000_s1026" o:spt="20" style="position:absolute;left:11206;top:300367;flip:y;height:409;width:0;" filled="f" stroked="t" coordsize="21600,21600" o:gfxdata="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N6D5+5AAAA2g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shape id="_x0000_s1026" o:spid="_x0000_s1026" o:spt="202" type="#_x0000_t202" style="position:absolute;left:10779;top:302371;height:451;width:996;" filled="f" stroked="f" coordsize="21600,21600" o:gfxdata="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X2Jgq2AAAA2wAAAA8A&#10;AAAAAAAAAQAgAAAAIgAAAGRycy9kb3ducmV2LnhtbFBLAQIUABQAAAAIAIdO4kAzLwWeOwAAADkA&#10;AAAQAAAAAAAAAAEAIAAAAAUBAABkcnMvc2hhcGV4bWwueG1sUEsFBgAAAAAGAAYAWwEAAK8DAAAA&#10;AA==&#10;">
                        <v:fill on="f" focussize="0,0"/>
                        <v:stroke on="f" weight="1pt"/>
                        <v:imagedata o:title=""/>
                        <o:lock v:ext="edit" aspectratio="f"/>
                        <v:textbox inset="0mm,0mm,0mm,0mm">
                          <w:txbxContent>
                            <w:p w14:paraId="727349CA">
                              <w:pPr>
                                <w:jc w:val="center"/>
                                <w:rPr>
                                  <w:b/>
                                </w:rPr>
                              </w:pPr>
                              <w:r>
                                <w:rPr>
                                  <w:rFonts w:hint="eastAsia"/>
                                  <w:b/>
                                </w:rPr>
                                <w:t>达标排放</w:t>
                              </w:r>
                            </w:p>
                          </w:txbxContent>
                        </v:textbox>
                      </v:shape>
                      <v:shape id="_x0000_s1026" o:spid="_x0000_s1026" o:spt="202" type="#_x0000_t202" style="position:absolute;left:6473;top:296821;height:400;width:2001;" filled="f" stroked="t" coordsize="21600,21600" o:gfxdata="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3FWCrsAAADb&#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textbox inset="0mm,0mm,0mm,0mm">
                          <w:txbxContent>
                            <w:p w14:paraId="33C5A1EE">
                              <w:pPr>
                                <w:jc w:val="center"/>
                                <w:rPr>
                                  <w:rFonts w:ascii="Calibri" w:hAnsi="Calibri"/>
                                  <w:b/>
                                  <w:szCs w:val="21"/>
                                </w:rPr>
                              </w:pPr>
                              <w:r>
                                <w:rPr>
                                  <w:rFonts w:hint="eastAsia" w:ascii="Calibri" w:hAnsi="Calibri"/>
                                  <w:b/>
                                  <w:szCs w:val="21"/>
                                </w:rPr>
                                <w:t>病人入院</w:t>
                              </w:r>
                            </w:p>
                          </w:txbxContent>
                        </v:textbox>
                      </v:shape>
                      <v:shape id="_x0000_s1026" o:spid="_x0000_s1026" o:spt="202" type="#_x0000_t202" style="position:absolute;left:6479;top:298015;height:400;width:2001;" filled="f" stroked="t" coordsize="21600,21600" o:gfxdata="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Q985G5AAAA2wAA&#10;AA8AAAAAAAAAAQAgAAAAIgAAAGRycy9kb3ducmV2LnhtbFBLAQIUABQAAAAIAIdO4kAzLwWeOwAA&#10;ADkAAAAQAAAAAAAAAAEAIAAAAAgBAABkcnMvc2hhcGV4bWwueG1sUEsFBgAAAAAGAAYAWwEAALID&#10;AAAAAA==&#10;">
                        <v:fill on="f" focussize="0,0"/>
                        <v:stroke weight="1.5pt" color="#000000" joinstyle="miter"/>
                        <v:imagedata o:title=""/>
                        <o:lock v:ext="edit" aspectratio="f"/>
                        <v:textbox inset="0mm,0mm,0mm,0mm">
                          <w:txbxContent>
                            <w:p w14:paraId="55EDA5A4">
                              <w:pPr>
                                <w:jc w:val="center"/>
                                <w:rPr>
                                  <w:rFonts w:ascii="Calibri" w:hAnsi="Calibri"/>
                                  <w:b/>
                                  <w:szCs w:val="21"/>
                                </w:rPr>
                              </w:pPr>
                              <w:r>
                                <w:rPr>
                                  <w:rFonts w:hint="eastAsia" w:ascii="Calibri" w:hAnsi="Calibri"/>
                                  <w:b/>
                                  <w:szCs w:val="21"/>
                                </w:rPr>
                                <w:t>检验、诊断</w:t>
                              </w:r>
                            </w:p>
                          </w:txbxContent>
                        </v:textbox>
                      </v:shape>
                      <v:shape id="_x0000_s1026" o:spid="_x0000_s1026" o:spt="202" type="#_x0000_t202" style="position:absolute;left:6464;top:299102;height:400;width:2001;" filled="f" stroked="t" coordsize="21600,21600" o:gfxdata="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omfjvQAA&#10;ANs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textbox inset="0mm,0mm,0mm,0mm">
                          <w:txbxContent>
                            <w:p w14:paraId="447F9583">
                              <w:pPr>
                                <w:jc w:val="center"/>
                                <w:rPr>
                                  <w:rFonts w:ascii="Calibri" w:hAnsi="Calibri"/>
                                  <w:b/>
                                  <w:szCs w:val="21"/>
                                </w:rPr>
                              </w:pPr>
                              <w:r>
                                <w:rPr>
                                  <w:rFonts w:hint="eastAsia" w:ascii="Calibri" w:hAnsi="Calibri"/>
                                  <w:b/>
                                  <w:szCs w:val="21"/>
                                </w:rPr>
                                <w:t>治   疗</w:t>
                              </w:r>
                            </w:p>
                          </w:txbxContent>
                        </v:textbox>
                      </v:shape>
                      <v:shape id="_x0000_s1026" o:spid="_x0000_s1026" o:spt="202" type="#_x0000_t202" style="position:absolute;left:6563;top:300249;height:1104;width:1700;" filled="f" stroked="t" coordsize="21600,21600" o:gfxdata="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7CeLsAAADb&#10;AAAADwAAAAAAAAABACAAAAAiAAAAZHJzL2Rvd25yZXYueG1sUEsBAhQAFAAAAAgAh07iQDMvBZ47&#10;AAAAOQAAABAAAAAAAAAAAQAgAAAACgEAAGRycy9zaGFwZXhtbC54bWxQSwUGAAAAAAYABgBbAQAA&#10;tAMAAAAA&#10;">
                        <v:fill on="f" focussize="0,0"/>
                        <v:stroke weight="1.5pt" color="#000000" joinstyle="miter"/>
                        <v:imagedata o:title=""/>
                        <o:lock v:ext="edit" aspectratio="f"/>
                        <v:textbox inset="0mm,0mm,0mm,0mm">
                          <w:txbxContent>
                            <w:p w14:paraId="597C8611">
                              <w:pPr>
                                <w:spacing w:line="400" w:lineRule="exact"/>
                                <w:jc w:val="center"/>
                                <w:rPr>
                                  <w:rFonts w:hint="eastAsia" w:ascii="Calibri" w:hAnsi="Calibri"/>
                                  <w:b/>
                                  <w:szCs w:val="21"/>
                                </w:rPr>
                              </w:pPr>
                              <w:r>
                                <w:rPr>
                                  <w:rFonts w:hint="eastAsia" w:ascii="Calibri" w:hAnsi="Calibri"/>
                                  <w:b/>
                                  <w:szCs w:val="21"/>
                                </w:rPr>
                                <w:t>住院、治疗、</w:t>
                              </w:r>
                            </w:p>
                            <w:p w14:paraId="0AAD5239">
                              <w:pPr>
                                <w:spacing w:line="400" w:lineRule="exact"/>
                                <w:jc w:val="center"/>
                                <w:rPr>
                                  <w:rFonts w:ascii="Calibri" w:hAnsi="Calibri"/>
                                  <w:b/>
                                  <w:szCs w:val="21"/>
                                </w:rPr>
                              </w:pPr>
                              <w:r>
                                <w:rPr>
                                  <w:rFonts w:hint="eastAsia" w:ascii="Calibri" w:hAnsi="Calibri"/>
                                  <w:b/>
                                  <w:szCs w:val="21"/>
                                </w:rPr>
                                <w:t>护理</w:t>
                              </w:r>
                            </w:p>
                          </w:txbxContent>
                        </v:textbox>
                      </v:shape>
                      <v:shape id="_x0000_s1026" o:spid="_x0000_s1026" o:spt="202" type="#_x0000_t202" style="position:absolute;left:6449;top:303025;height:400;width:2001;" filled="f" stroked="t" coordsize="21600,21600" o:gfxdata="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4oVi5AAAA2wAA&#10;AA8AAAAAAAAAAQAgAAAAIgAAAGRycy9kb3ducmV2LnhtbFBLAQIUABQAAAAIAIdO4kAzLwWeOwAA&#10;ADkAAAAQAAAAAAAAAAEAIAAAAAgBAABkcnMvc2hhcGV4bWwueG1sUEsFBgAAAAAGAAYAWwEAALID&#10;AAAAAA==&#10;">
                        <v:fill on="f" focussize="0,0"/>
                        <v:stroke weight="1.5pt" color="#000000" joinstyle="miter"/>
                        <v:imagedata o:title=""/>
                        <o:lock v:ext="edit" aspectratio="f"/>
                        <v:textbox inset="0mm,0mm,0mm,0mm">
                          <w:txbxContent>
                            <w:p w14:paraId="3AD8EFDD">
                              <w:pPr>
                                <w:jc w:val="center"/>
                                <w:rPr>
                                  <w:rFonts w:ascii="Calibri" w:hAnsi="Calibri"/>
                                  <w:b/>
                                  <w:szCs w:val="21"/>
                                </w:rPr>
                              </w:pPr>
                              <w:r>
                                <w:rPr>
                                  <w:rFonts w:hint="eastAsia" w:ascii="Calibri" w:hAnsi="Calibri"/>
                                  <w:b/>
                                  <w:szCs w:val="21"/>
                                </w:rPr>
                                <w:t>复  检</w:t>
                              </w:r>
                            </w:p>
                          </w:txbxContent>
                        </v:textbox>
                      </v:shape>
                      <v:shape id="_x0000_s1026" o:spid="_x0000_s1026" o:spt="202" type="#_x0000_t202" style="position:absolute;left:6569;top:304534;height:401;width:1819;" filled="f" stroked="t" coordsize="21600,21600" o:gfxdata="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11nf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inset="0mm,0mm,0mm,0mm">
                          <w:txbxContent>
                            <w:p w14:paraId="61F31250">
                              <w:pPr>
                                <w:jc w:val="center"/>
                                <w:rPr>
                                  <w:rFonts w:ascii="Calibri" w:hAnsi="Calibri"/>
                                  <w:b/>
                                  <w:szCs w:val="21"/>
                                </w:rPr>
                              </w:pPr>
                              <w:r>
                                <w:rPr>
                                  <w:rFonts w:hint="eastAsia" w:ascii="Calibri" w:hAnsi="Calibri"/>
                                  <w:b/>
                                  <w:szCs w:val="21"/>
                                </w:rPr>
                                <w:t>病人出院</w:t>
                              </w:r>
                            </w:p>
                          </w:txbxContent>
                        </v:textbox>
                      </v:shape>
                      <v:shape id="_x0000_s1026" o:spid="_x0000_s1026" o:spt="202" type="#_x0000_t202" style="position:absolute;left:4570;top:297395;height:311;width:801;" filled="f" stroked="t" coordsize="21600,21600" o:gfxdata="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Fx6i8AAAA&#10;2w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inset="0mm,0mm,0mm,0mm">
                          <w:txbxContent>
                            <w:p w14:paraId="7DD0787F">
                              <w:pPr>
                                <w:jc w:val="center"/>
                                <w:rPr>
                                  <w:rFonts w:ascii="Calibri" w:hAnsi="Calibri"/>
                                  <w:sz w:val="18"/>
                                  <w:szCs w:val="18"/>
                                </w:rPr>
                              </w:pPr>
                              <w:r>
                                <w:rPr>
                                  <w:rFonts w:hint="eastAsia" w:ascii="Calibri" w:hAnsi="Calibri"/>
                                  <w:sz w:val="18"/>
                                  <w:szCs w:val="18"/>
                                </w:rPr>
                                <w:t>热水器</w:t>
                              </w:r>
                            </w:p>
                          </w:txbxContent>
                        </v:textbox>
                      </v:shape>
                      <v:shape id="_x0000_s1026" o:spid="_x0000_s1026" o:spt="202" type="#_x0000_t202" style="position:absolute;left:4018;top:301198;height:400;width:1301;" filled="f" stroked="t" coordsize="21600,21600" o:gfxdata="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JYjO8AAAA&#10;2w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inset="0mm,0mm,0mm,0mm">
                          <w:txbxContent>
                            <w:p w14:paraId="5FD9180C">
                              <w:pPr>
                                <w:jc w:val="center"/>
                                <w:rPr>
                                  <w:rFonts w:ascii="Calibri" w:hAnsi="Calibri"/>
                                  <w:b/>
                                  <w:szCs w:val="21"/>
                                </w:rPr>
                              </w:pPr>
                              <w:r>
                                <w:rPr>
                                  <w:rFonts w:hint="eastAsia" w:ascii="Calibri" w:hAnsi="Calibri"/>
                                  <w:b/>
                                  <w:szCs w:val="21"/>
                                </w:rPr>
                                <w:t>医护人员</w:t>
                              </w:r>
                            </w:p>
                          </w:txbxContent>
                        </v:textbox>
                      </v:shape>
                      <v:rect id="_x0000_s1026" o:spid="_x0000_s1026" o:spt="1" style="position:absolute;left:6340;top:296667;height:7103;width:2294;" filled="f" stroked="t" coordsize="21600,21600" o:gfxdata="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Ec8je5AAAA2wAA&#10;AA8AAAAAAAAAAQAgAAAAIgAAAGRycy9kb3ducmV2LnhtbFBLAQIUABQAAAAIAIdO4kAzLwWeOwAA&#10;ADkAAAAQAAAAAAAAAAEAIAAAAAgBAABkcnMvc2hhcGV4bWwueG1sUEsFBgAAAAAGAAYAWwEAALID&#10;AAAAAA==&#10;">
                        <v:fill on="f" focussize="0,0"/>
                        <v:stroke color="#000000" joinstyle="miter" dashstyle="dash"/>
                        <v:imagedata o:title=""/>
                        <o:lock v:ext="edit" aspectratio="f"/>
                      </v:rect>
                      <v:line id="_x0000_s1026" o:spid="_x0000_s1026" o:spt="20" style="position:absolute;left:7460;top:297281;height:698;width:0;" filled="f" stroked="t" coordsize="21600,21600" o:gfxdata="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FGkvQAA&#10;ANsAAAAPAAAAAAAAAAEAIAAAACIAAABkcnMvZG93bnJldi54bWxQSwECFAAUAAAACACHTuJAMy8F&#10;njsAAAA5AAAAEAAAAAAAAAABACAAAAAMAQAAZHJzL3NoYXBleG1sLnhtbFBLBQYAAAAABgAGAFsB&#10;AAC2AwAAAAA=&#10;">
                        <v:fill on="f" focussize="0,0"/>
                        <v:stroke weight="1.5pt" color="#000000" joinstyle="round" endarrow="block" endarrowwidth="wide" endarrowlength="long"/>
                        <v:imagedata o:title=""/>
                        <o:lock v:ext="edit" aspectratio="f"/>
                      </v:line>
                      <v:line id="_x0000_s1026" o:spid="_x0000_s1026" o:spt="20" style="position:absolute;left:7439;top:298405;height:698;width:0;" filled="f" stroked="t" coordsize="21600,21600" o:gfxdata="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bxda8AAAA&#10;2wAAAA8AAAAAAAAAAQAgAAAAIgAAAGRycy9kb3ducmV2LnhtbFBLAQIUABQAAAAIAIdO4kAzLwWe&#10;OwAAADkAAAAQAAAAAAAAAAEAIAAAAAsBAABkcnMvc2hhcGV4bWwueG1sUEsFBgAAAAAGAAYAWwEA&#10;ALUDAAAAAA==&#10;">
                        <v:fill on="f" focussize="0,0"/>
                        <v:stroke weight="1.5pt" color="#000000" joinstyle="round" endarrow="block" endarrowwidth="wide" endarrowlength="long"/>
                        <v:imagedata o:title=""/>
                        <o:lock v:ext="edit" aspectratio="f"/>
                      </v:line>
                      <v:line id="_x0000_s1026" o:spid="_x0000_s1026" o:spt="20" style="position:absolute;left:7454;top:299528;height:698;width:0;" filled="f" stroked="t" coordsize="21600,21600" o:gfxdata="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XYE2/&#10;AAAA2wAAAA8AAAAAAAAAAQAgAAAAIgAAAGRycy9kb3ducmV2LnhtbFBLAQIUABQAAAAIAIdO4kAz&#10;LwWeOwAAADkAAAAQAAAAAAAAAAEAIAAAAA4BAABkcnMvc2hhcGV4bWwueG1sUEsFBgAAAAAGAAYA&#10;WwEAALgDAAAAAA==&#10;">
                        <v:fill on="f" focussize="0,0"/>
                        <v:stroke weight="1.5pt" color="#000000" joinstyle="round" endarrow="block" endarrowwidth="wide" endarrowlength="long"/>
                        <v:imagedata o:title=""/>
                        <o:lock v:ext="edit" aspectratio="f"/>
                      </v:line>
                      <v:line id="_x0000_s1026" o:spid="_x0000_s1026" o:spt="20" style="position:absolute;left:7439;top:301353;flip:x;height:1601;width:15;" filled="f" stroked="t" coordsize="21600,21600" o:gfxdata="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P6axugAAANsA&#10;AAAPAAAAAAAAAAEAIAAAACIAAABkcnMvZG93bnJldi54bWxQSwECFAAUAAAACACHTuJAMy8FnjsA&#10;AAA5AAAAEAAAAAAAAAABACAAAAAJAQAAZHJzL3NoYXBleG1sLnhtbFBLBQYAAAAABgAGAFsBAACz&#10;AwAAAAA=&#10;">
                        <v:fill on="f" focussize="0,0"/>
                        <v:stroke weight="1.5pt" color="#000000" joinstyle="round" endarrow="block" endarrowwidth="wide" endarrowlength="long"/>
                        <v:imagedata o:title=""/>
                        <o:lock v:ext="edit" aspectratio="f"/>
                      </v:line>
                      <v:line id="_x0000_s1026" o:spid="_x0000_s1026" o:spt="20" style="position:absolute;left:7469;top:303505;height:962;width:0;" filled="f" stroked="t" coordsize="21600,21600" o:gfxdata="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j6lr4A&#10;AADbAAAADwAAAAAAAAABACAAAAAiAAAAZHJzL2Rvd25yZXYueG1sUEsBAhQAFAAAAAgAh07iQDMv&#10;BZ47AAAAOQAAABAAAAAAAAAAAQAgAAAADQEAAGRycy9zaGFwZXhtbC54bWxQSwUGAAAAAAYABgBb&#10;AQAAtwMAAAAA&#10;">
                        <v:fill on="f" focussize="0,0"/>
                        <v:stroke weight="1.5pt" color="#000000" joinstyle="round" endarrow="block" endarrowwidth="wide" endarrowlength="long"/>
                        <v:imagedata o:title=""/>
                        <o:lock v:ext="edit" aspectratio="f"/>
                      </v:line>
                      <v:line id="_x0000_s1026" o:spid="_x0000_s1026" o:spt="20" style="position:absolute;left:5357;top:297575;height:1;width:945;" filled="f" stroked="t" coordsize="21600,21600" o:gfxdata="UEsDBAoAAAAAAIdO4kAAAAAAAAAAAAAAAAAEAAAAZHJzL1BLAwQUAAAACACHTuJAvYKbJ78AAADb&#10;AAAADwAAAGRycy9kb3ducmV2LnhtbEWPT2vCQBTE7wW/w/IEb3UTh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my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307;top:301385;height:9;width:1007;" filled="f" stroked="t" coordsize="21600,21600" o:gfxdata="UEsDBAoAAAAAAIdO4kAAAAAAAAAAAAAAAAAEAAAAZHJzL1BLAwQUAAAACACHTuJA0s4+vL4AAADb&#10;AAAADwAAAGRycy9kb3ducmV2LnhtbEWPQWvCQBSE74L/YXmCN91EoY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4+v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233;top:301620;height:1704;width:0;" filled="f" stroked="t" coordsize="21600,21600" o:gfxdata="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60dl&#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_x0000_s1026" o:spid="_x0000_s1026" o:spt="20" style="position:absolute;left:4856;top:301621;flip:x;height:1712;width:0;" filled="f" stroked="t" coordsize="21600,21600" o:gfxdata="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DLMNe5AAAA2w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shape id="_x0000_s1026" o:spid="_x0000_s1026" o:spt="202" type="#_x0000_t202" style="position:absolute;left:3529;top:303333;height:303;width:1023;" filled="f" stroked="f" coordsize="21600,21600" o:gfxdata="UEsDBAoAAAAAAIdO4kAAAAAAAAAAAAAAAAAEAAAAZHJzL1BLAwQUAAAACACHTuJA6WtA0r4AAADb&#10;AAAADwAAAGRycy9kb3ducmV2LnhtbEWPQWsCMRSE70L/Q3gFb5pYRe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tA0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351C531">
                              <w:pPr>
                                <w:rPr>
                                  <w:i/>
                                  <w:u w:val="single"/>
                                </w:rPr>
                              </w:pPr>
                              <w:r>
                                <w:rPr>
                                  <w:rFonts w:hint="eastAsia"/>
                                  <w:i/>
                                  <w:u w:val="single"/>
                                </w:rPr>
                                <w:t>生活垃圾</w:t>
                              </w:r>
                            </w:p>
                          </w:txbxContent>
                        </v:textbox>
                      </v:shape>
                      <v:shape id="_x0000_s1026" o:spid="_x0000_s1026" o:spt="202" type="#_x0000_t202" style="position:absolute;left:4649;top:303285;height:303;width:1033;" filled="f" stroked="f" coordsize="21600,21600" o:gfxdata="UEsDBAoAAAAAAIdO4kAAAAAAAAAAAAAAAAAEAAAAZHJzL1BLAwQUAAAACACHTuJAZoLYpr4AAADb&#10;AAAADwAAAGRycy9kb3ducmV2LnhtbEWPzWrDMBCE74W+g9hCb42UE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LYp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9B4C884">
                              <w:pPr>
                                <w:rPr>
                                  <w:i/>
                                  <w:u w:val="single"/>
                                </w:rPr>
                              </w:pPr>
                              <w:r>
                                <w:rPr>
                                  <w:rFonts w:hint="eastAsia"/>
                                  <w:i/>
                                  <w:u w:val="single"/>
                                </w:rPr>
                                <w:t>生活污水</w:t>
                              </w:r>
                            </w:p>
                          </w:txbxContent>
                        </v:textbox>
                      </v:shape>
                      <v:line id="_x0000_s1026" o:spid="_x0000_s1026" o:spt="20" style="position:absolute;left:4069;top:303588;height:454;width:0;" filled="f" stroked="t" coordsize="21600,21600" o:gfxdata="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oZGD&#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shape id="_x0000_s1026" o:spid="_x0000_s1026" o:spt="202" type="#_x0000_t202" style="position:absolute;left:3534;top:304089;height:303;width:1033;" filled="f" stroked="f" coordsize="21600,21600" o:gfxdata="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z9Kj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14:paraId="456F64FF">
                              <w:r>
                                <w:rPr>
                                  <w:rFonts w:hint="eastAsia"/>
                                </w:rPr>
                                <w:t>环卫清运</w:t>
                              </w:r>
                            </w:p>
                          </w:txbxContent>
                        </v:textbox>
                      </v:shape>
                      <v:shape id="_x0000_s1026" o:spid="_x0000_s1026" o:spt="202" type="#_x0000_t202" style="position:absolute;left:10095;top:299313;height:344;width:1141;" filled="f" stroked="t" coordsize="21600,21600" o:gfxdata="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Aq6y/&#10;AAAA2wAAAA8AAAAAAAAAAQAgAAAAIgAAAGRycy9kb3ducmV2LnhtbFBLAQIUABQAAAAIAIdO4kAz&#10;LwWeOwAAADkAAAAQAAAAAAAAAAEAIAAAAA4BAABkcnMvc2hhcGV4bWwueG1sUEsFBgAAAAAGAAYA&#10;WwEAALgDAAAAAA==&#10;">
                        <v:fill on="f" focussize="0,0"/>
                        <v:stroke weight="1.2pt" color="#000000" joinstyle="miter"/>
                        <v:imagedata o:title=""/>
                        <o:lock v:ext="edit" aspectratio="f"/>
                        <v:textbox inset="0mm,0mm,0mm,0mm">
                          <w:txbxContent>
                            <w:p w14:paraId="1221BD84">
                              <w:pPr>
                                <w:jc w:val="center"/>
                                <w:rPr>
                                  <w:rFonts w:ascii="Calibri" w:hAnsi="Calibri"/>
                                  <w:b/>
                                  <w:szCs w:val="21"/>
                                </w:rPr>
                              </w:pPr>
                              <w:r>
                                <w:rPr>
                                  <w:rFonts w:hint="eastAsia" w:ascii="Calibri" w:hAnsi="Calibri"/>
                                  <w:b/>
                                  <w:szCs w:val="21"/>
                                </w:rPr>
                                <w:t>暂存间</w:t>
                              </w:r>
                            </w:p>
                          </w:txbxContent>
                        </v:textbox>
                      </v:shape>
                      <v:line id="_x0000_s1026" o:spid="_x0000_s1026" o:spt="20" style="position:absolute;left:8189;top:299502;height:151;width:0;" filled="f" stroked="t" coordsize="21600,21600" o:gfxdata="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AhzL4A&#10;AADb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line id="_x0000_s1026" o:spid="_x0000_s1026" o:spt="20" style="position:absolute;left:8189;top:299669;height:0;width:1080;" filled="f" stroked="t" coordsize="21600,21600" o:gfxdata="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K/u74A&#10;AADb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line id="_x0000_s1026" o:spid="_x0000_s1026" o:spt="20" style="position:absolute;left:9269;top:299678;height:454;width:0;" filled="f" stroked="t" coordsize="21600,21600" o:gfxdata="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0osW/&#10;AAAA2wAAAA8AAAAAAAAAAQAgAAAAIgAAAGRycy9kb3ducmV2LnhtbFBLAQIUABQAAAAIAIdO4kAz&#10;LwWeOwAAADkAAAAQAAAAAAAAAAEAIAAAAA4BAABkcnMvc2hhcGV4bWwueG1sUEsFBgAAAAAGAAYA&#10;WwEAALgDAAAAAA==&#10;">
                        <v:fill on="f" focussize="0,0"/>
                        <v:stroke color="#000000" joinstyle="round" dashstyle="dash" endarrow="block"/>
                        <v:imagedata o:title=""/>
                        <o:lock v:ext="edit" aspectratio="f"/>
                      </v:line>
                      <v:shape id="_x0000_s1026" o:spid="_x0000_s1026" o:spt="202" type="#_x0000_t202" style="position:absolute;left:8756;top:300162;height:394;width:1077;" filled="f" stroked="f" coordsize="21600,21600" o:gfxdata="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2dMFS2AAAA2wAAAA8A&#10;AAAAAAAAAQAgAAAAIgAAAGRycy9kb3ducmV2LnhtbFBLAQIUABQAAAAIAIdO4kAzLwWeOwAAADkA&#10;AAAQAAAAAAAAAAEAIAAAAAUBAABkcnMvc2hhcGV4bWwueG1sUEsFBgAAAAAGAAYAWwEAAK8DAAAA&#10;AA==&#10;">
                        <v:fill on="f" focussize="0,0"/>
                        <v:stroke on="f" weight="1pt"/>
                        <v:imagedata o:title=""/>
                        <o:lock v:ext="edit" aspectratio="f"/>
                        <v:textbox inset="0mm,0mm,0mm,0mm">
                          <w:txbxContent>
                            <w:p w14:paraId="27E2167E">
                              <w:pPr>
                                <w:jc w:val="center"/>
                                <w:rPr>
                                  <w:b/>
                                  <w:i/>
                                  <w:u w:val="single"/>
                                </w:rPr>
                              </w:pPr>
                              <w:r>
                                <w:rPr>
                                  <w:rFonts w:hint="eastAsia"/>
                                  <w:b/>
                                  <w:i/>
                                  <w:u w:val="single"/>
                                </w:rPr>
                                <w:t>医疗废水</w:t>
                              </w:r>
                            </w:p>
                          </w:txbxContent>
                        </v:textbox>
                      </v:shape>
                      <v:line id="_x0000_s1026" o:spid="_x0000_s1026" o:spt="20" style="position:absolute;left:8277;top:300360;height:0;width:540;" filled="f" stroked="t" coordsize="21600,21600" o:gfxdata="UEsDBAoAAAAAAIdO4kAAAAAAAAAAAAAAAAAEAAAAZHJzL1BLAwQUAAAACACHTuJAbvns9r8AAADb&#10;AAAADwAAAGRycy9kb3ducmV2LnhtbEWPT2vCQBTE7wW/w/KE3uomQku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57P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9027;top:300903;height:394;width:1067;" filled="f" stroked="f" coordsize="21600,21600" o:gfxdata="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2H9u+2AAAA2wAAAA8A&#10;AAAAAAAAAQAgAAAAIgAAAGRycy9kb3ducmV2LnhtbFBLAQIUABQAAAAIAIdO4kAzLwWeOwAAADkA&#10;AAAQAAAAAAAAAAEAIAAAAAUBAABkcnMvc2hhcGV4bWwueG1sUEsFBgAAAAAGAAYAWwEAAK8DAAAA&#10;AA==&#10;">
                        <v:fill on="f" focussize="0,0"/>
                        <v:stroke on="f" weight="1pt"/>
                        <v:imagedata o:title=""/>
                        <o:lock v:ext="edit" aspectratio="f"/>
                        <v:textbox inset="0mm,0mm,0mm,0mm">
                          <w:txbxContent>
                            <w:p w14:paraId="2B2DA529">
                              <w:pPr>
                                <w:jc w:val="center"/>
                                <w:rPr>
                                  <w:b/>
                                  <w:i/>
                                  <w:u w:val="single"/>
                                </w:rPr>
                              </w:pPr>
                              <w:r>
                                <w:rPr>
                                  <w:rFonts w:hint="eastAsia"/>
                                  <w:b/>
                                  <w:i/>
                                  <w:u w:val="single"/>
                                </w:rPr>
                                <w:t>医疗废物</w:t>
                              </w:r>
                            </w:p>
                          </w:txbxContent>
                        </v:textbox>
                      </v:shape>
                      <v:line id="_x0000_s1026" o:spid="_x0000_s1026" o:spt="20" style="position:absolute;left:9809;top:300299;height:0;width:900;" filled="f" stroked="t" coordsize="21600,21600" o:gfxdata="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x+1yvQAA&#10;ANs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line id="_x0000_s1026" o:spid="_x0000_s1026" o:spt="20" style="position:absolute;left:10709;top:300299;height:1210;width:0;" filled="f" stroked="t" coordsize="21600,21600" o:gfxdata="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vy+C/&#10;AAAA2wAAAA8AAAAAAAAAAQAgAAAAIgAAAGRycy9kb3ducmV2LnhtbFBLAQIUABQAAAAIAIdO4kAz&#10;LwWeOwAAADkAAAAQAAAAAAAAAAEAIAAAAA4BAABkcnMvc2hhcGV4bWwueG1sUEsFBgAAAAAGAAYA&#10;WwEAALgDAAAAAA==&#10;">
                        <v:fill on="f" focussize="0,0"/>
                        <v:stroke color="#000000" joinstyle="round" dashstyle="dash" endarrow="block"/>
                        <v:imagedata o:title=""/>
                        <o:lock v:ext="edit" aspectratio="f"/>
                      </v:line>
                      <v:line id="_x0000_s1026" o:spid="_x0000_s1026" o:spt="20" style="position:absolute;left:9989;top:301056;height:0;width:540;" filled="f" stroked="t" coordsize="21600,21600" o:gfxdata="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Z1p6/&#10;AAAA2w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_x0000_s1026" o:spid="_x0000_s1026" o:spt="20" style="position:absolute;left:10529;top:300449;flip:y;height:606;width:0;" filled="f" stroked="t" coordsize="21600,21600" o:gfxdata="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k8pcrgAAADbAAAA&#10;DwAAAAAAAAABACAAAAAiAAAAZHJzL2Rvd25yZXYueG1sUEsBAhQAFAAAAAgAh07iQDMvBZ47AAAA&#10;OQAAABAAAAAAAAAAAQAgAAAABwEAAGRycy9zaGFwZXhtbC54bWxQSwUGAAAAAAYABgBbAQAAsQMA&#10;AAAA&#10;">
                        <v:fill on="f" focussize="0,0"/>
                        <v:stroke color="#000000" joinstyle="round" dashstyle="dash"/>
                        <v:imagedata o:title=""/>
                        <o:lock v:ext="edit" aspectratio="f"/>
                      </v:line>
                      <v:line id="_x0000_s1026" o:spid="_x0000_s1026" o:spt="20" style="position:absolute;left:10529;top:299678;flip:y;height:454;width:0;" filled="f" stroked="t" coordsize="21600,21600" o:gfxdata="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NRXP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shape id="_x0000_s1026" o:spid="_x0000_s1026" o:spt="100" style="position:absolute;left:10462;top:300131;height:303;width:67;" filled="f" stroked="t" coordsize="67,312" o:gfxdata="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MEbL4A&#10;AADbAAAADwAAAAAAAAABACAAAAAiAAAAZHJzL2Rvd25yZXYueG1sUEsBAhQAFAAAAAgAh07iQDMv&#10;BZ47AAAAOQAAABAAAAAAAAAAAQAgAAAADQEAAGRycy9zaGFwZXhtbC54bWxQSwUGAAAAAAYABgBb&#10;AQAAtwMAAAAA&#10;" path="m67,312c56,287,0,214,0,162c0,110,53,34,67,0e">
                        <v:fill on="f" focussize="0,0"/>
                        <v:stroke color="#000000" joinstyle="round" dashstyle="dash"/>
                        <v:imagedata o:title=""/>
                        <o:lock v:ext="edit" aspectratio="f"/>
                      </v:shape>
                      <v:shape id="_x0000_s1026" o:spid="_x0000_s1026" o:spt="202" type="#_x0000_t202" style="position:absolute;left:10169;top:301509;height:344;width:881;" filled="f" stroked="t" coordsize="21600,21600" o:gfxdata="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2a/&#10;AAAA2wAAAA8AAAAAAAAAAQAgAAAAIgAAAGRycy9kb3ducmV2LnhtbFBLAQIUABQAAAAIAIdO4kAz&#10;LwWeOwAAADkAAAAQAAAAAAAAAAEAIAAAAA4BAABkcnMvc2hhcGV4bWwueG1sUEsFBgAAAAAGAAYA&#10;WwEAALgDAAAAAA==&#10;">
                        <v:fill on="f" focussize="0,0"/>
                        <v:stroke weight="1.2pt" color="#000000" joinstyle="miter"/>
                        <v:imagedata o:title=""/>
                        <o:lock v:ext="edit" aspectratio="f"/>
                        <v:textbox inset="0mm,0mm,0mm,0mm">
                          <w:txbxContent>
                            <w:p w14:paraId="67056F2D">
                              <w:pPr>
                                <w:jc w:val="center"/>
                                <w:rPr>
                                  <w:rFonts w:ascii="Calibri" w:hAnsi="Calibri"/>
                                  <w:b/>
                                  <w:szCs w:val="21"/>
                                </w:rPr>
                              </w:pPr>
                              <w:r>
                                <w:rPr>
                                  <w:rFonts w:hint="eastAsia" w:ascii="Calibri" w:hAnsi="Calibri"/>
                                  <w:b/>
                                  <w:szCs w:val="21"/>
                                </w:rPr>
                                <w:t>污水站</w:t>
                              </w:r>
                            </w:p>
                          </w:txbxContent>
                        </v:textbox>
                      </v:shape>
                      <v:line id="_x0000_s1026" o:spid="_x0000_s1026" o:spt="20" style="position:absolute;left:11053;top:301621;height:0;width:180;" filled="f" stroked="t" coordsize="21600,21600" o:gfxdata="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1E77sAAADb&#10;AAAADwAAAAAAAAABACAAAAAiAAAAZHJzL2Rvd25yZXYueG1sUEsBAhQAFAAAAAgAh07iQDMvBZ47&#10;AAAAOQAAABAAAAAAAAAAAQAgAAAACgEAAGRycy9zaGFwZXhtbC54bWxQSwUGAAAAAAYABgBbAQAA&#10;tAMAAAAA&#10;">
                        <v:fill on="f" focussize="0,0"/>
                        <v:stroke color="#000000" joinstyle="round" dashstyle="dash"/>
                        <v:imagedata o:title=""/>
                        <o:lock v:ext="edit" aspectratio="f"/>
                      </v:line>
                      <v:line id="_x0000_s1026" o:spid="_x0000_s1026" o:spt="20" style="position:absolute;left:11235;top:301041;flip:x y;height:579;width:14;" filled="f" stroked="t" coordsize="21600,21600" o:gfxdata="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2hk+8AAAA&#10;2wAAAA8AAAAAAAAAAQAgAAAAIgAAAGRycy9kb3ducmV2LnhtbFBLAQIUABQAAAAIAIdO4kAzLwWe&#10;OwAAADkAAAAQAAAAAAAAAAEAIAAAAAsBAABkcnMvc2hhcGV4bWwueG1sUEsFBgAAAAAGAAYAWwEA&#10;ALUDAAAAAA==&#10;">
                        <v:fill on="f" focussize="0,0"/>
                        <v:stroke color="#000000" joinstyle="round" dashstyle="dash" endarrow="block"/>
                        <v:imagedata o:title=""/>
                        <o:lock v:ext="edit" aspectratio="f"/>
                      </v:line>
                      <v:line id="_x0000_s1026" o:spid="_x0000_s1026" o:spt="20" style="position:absolute;left:11061;top:301749;height:0;width:180;" filled="f" stroked="t" coordsize="21600,21600" o:gfxdata="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Ut40ugAAANs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_x0000_s1026" o:spid="_x0000_s1026" o:spt="20" style="position:absolute;left:11241;top:301737;height:605;width:0;" filled="f" stroked="t" coordsize="21600,21600" o:gfxdata="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JMNK&#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shape id="_x0000_s1026" o:spid="_x0000_s1026" o:spt="202" type="#_x0000_t202" style="position:absolute;left:8757;top:304081;height:316;width:1620;" filled="f" stroked="t" coordsize="21600,21600" o:gfxdata="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tui1vQAA&#10;ANsAAAAPAAAAAAAAAAEAIAAAACIAAABkcnMvZG93bnJldi54bWxQSwECFAAUAAAACACHTuJAMy8F&#10;njsAAAA5AAAAEAAAAAAAAAABACAAAAAMAQAAZHJzL3NoYXBleG1sLnhtbFBLBQYAAAAABgAGAFsB&#10;AAC2AwAAAAA=&#10;">
                        <v:fill on="f" focussize="0,0"/>
                        <v:stroke weight="1pt" color="#000000" joinstyle="miter"/>
                        <v:imagedata o:title=""/>
                        <o:lock v:ext="edit" aspectratio="f"/>
                        <v:textbox inset="0mm,0mm,0mm,0mm">
                          <w:txbxContent>
                            <w:p w14:paraId="514F5FEF">
                              <w:pPr>
                                <w:jc w:val="center"/>
                                <w:rPr>
                                  <w:rFonts w:ascii="Calibri" w:hAnsi="Calibri"/>
                                  <w:b/>
                                  <w:sz w:val="24"/>
                                </w:rPr>
                              </w:pPr>
                              <w:r>
                                <w:rPr>
                                  <w:rFonts w:hint="eastAsia" w:ascii="Calibri" w:hAnsi="Calibri"/>
                                  <w:b/>
                                  <w:szCs w:val="21"/>
                                </w:rPr>
                                <w:t>病房清扫、消</w:t>
                              </w:r>
                              <w:r>
                                <w:rPr>
                                  <w:rFonts w:hint="eastAsia" w:ascii="Calibri" w:hAnsi="Calibri"/>
                                  <w:b/>
                                  <w:sz w:val="24"/>
                                </w:rPr>
                                <w:t>毒</w:t>
                              </w:r>
                            </w:p>
                          </w:txbxContent>
                        </v:textbox>
                      </v:shape>
                      <v:line id="_x0000_s1026" o:spid="_x0000_s1026" o:spt="20" style="position:absolute;left:8189;top:304233;flip:y;height:303;width:0;" filled="f" stroked="t" coordsize="21600,21600" o:gfxdata="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fyfbugAAANsA&#10;AAAPAAAAAAAAAAEAIAAAACIAAABkcnMvZG93bnJldi54bWxQSwECFAAUAAAACACHTuJAMy8FnjsA&#10;AAA5AAAAEAAAAAAAAAABACAAAAAJAQAAZHJzL3NoYXBleG1sLnhtbFBLBQYAAAAABgAGAFsBAACz&#10;AwAAAAA=&#10;">
                        <v:fill on="f" focussize="0,0"/>
                        <v:stroke color="#000000" joinstyle="round" dashstyle="dash"/>
                        <v:imagedata o:title=""/>
                        <o:lock v:ext="edit" aspectratio="f"/>
                      </v:line>
                      <v:line id="_x0000_s1026" o:spid="_x0000_s1026" o:spt="20" style="position:absolute;left:8189;top:304233;height:0;width:540;" filled="f" stroked="t" coordsize="21600,21600" o:gfxdata="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U2DS&#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shape id="_x0000_s1026" o:spid="_x0000_s1026" o:spt="202" type="#_x0000_t202" style="position:absolute;left:9449;top:303022;height:394;width:1056;" filled="f" stroked="f" coordsize="21600,21600" o:gfxdata="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cOqvQAA&#10;ANsAAAAPAAAAAAAAAAEAIAAAACIAAABkcnMvZG93bnJldi54bWxQSwECFAAUAAAACACHTuJAMy8F&#10;njsAAAA5AAAAEAAAAAAAAAABACAAAAAMAQAAZHJzL3NoYXBleG1sLnhtbFBLBQYAAAAABgAGAFsB&#10;AAC2AwAAAAA=&#10;">
                        <v:fill on="f" focussize="0,0"/>
                        <v:stroke on="f" weight="1pt"/>
                        <v:imagedata o:title=""/>
                        <o:lock v:ext="edit" aspectratio="f"/>
                        <v:textbox inset="0mm,0mm,0mm,0mm">
                          <w:txbxContent>
                            <w:p w14:paraId="52B2C793">
                              <w:pPr>
                                <w:jc w:val="center"/>
                                <w:rPr>
                                  <w:b/>
                                  <w:i/>
                                  <w:u w:val="single"/>
                                </w:rPr>
                              </w:pPr>
                              <w:r>
                                <w:rPr>
                                  <w:rFonts w:hint="eastAsia"/>
                                  <w:b/>
                                  <w:i/>
                                  <w:u w:val="single"/>
                                </w:rPr>
                                <w:t>医疗废水</w:t>
                              </w:r>
                            </w:p>
                          </w:txbxContent>
                        </v:textbox>
                      </v:shape>
                      <v:line id="_x0000_s1026" o:spid="_x0000_s1026" o:spt="20" style="position:absolute;left:8425;top:303173;height:0;width:1080;" filled="f" stroked="t" coordsize="21600,21600" o:gfxdata="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zVs+&#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_x0000_s1026" o:spid="_x0000_s1026" o:spt="20" style="position:absolute;left:8885;top:301047;height:0;width:180;" filled="f" stroked="t" coordsize="21600,21600" o:gfxdata="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fgX+/&#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809;top:301660;flip:y;height:1361;width:0;" filled="f" stroked="t" coordsize="21600,21600" o:gfxdata="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rbtaq2AAAA2wAAAA8A&#10;AAAAAAAAAQAgAAAAIgAAAGRycy9kb3ducmV2LnhtbFBLAQIUABQAAAAIAIdO4kAzLwWeOwAAADkA&#10;AAAQAAAAAAAAAAEAIAAAAAUBAABkcnMvc2hhcGV4bWwueG1sUEsFBgAAAAAGAAYAWwEAAK8DAAAA&#10;AA==&#10;">
                        <v:fill on="f" focussize="0,0"/>
                        <v:stroke color="#000000" joinstyle="round" dashstyle="dash"/>
                        <v:imagedata o:title=""/>
                        <o:lock v:ext="edit" aspectratio="f"/>
                      </v:line>
                      <v:line id="_x0000_s1026" o:spid="_x0000_s1026" o:spt="20" style="position:absolute;left:9809;top:301660;height:0;width:360;" filled="f" stroked="t" coordsize="21600,21600" o:gfxdata="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Us9M&#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shape id="_x0000_s1026" o:spid="_x0000_s1026" o:spt="202" type="#_x0000_t202" style="position:absolute;left:5451;top:297283;height:362;width:720;" filled="f" stroked="f" coordsize="21600,21600" o:gfxdata="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2LEBW2AAAA2wAAAA8A&#10;AAAAAAAAAQAgAAAAIgAAAGRycy9kb3ducmV2LnhtbFBLAQIUABQAAAAIAIdO4kAzLwWeOwAAADkA&#10;AAAQAAAAAAAAAAEAIAAAAAUBAABkcnMvc2hhcGV4bWwueG1sUEsFBgAAAAAGAAYAWwEAAK8DAAAA&#10;AA==&#10;">
                        <v:fill on="f" focussize="0,0"/>
                        <v:stroke on="f" weight="1pt"/>
                        <v:imagedata o:title=""/>
                        <o:lock v:ext="edit" aspectratio="f"/>
                        <v:textbox inset="0mm,0mm,0mm,0mm">
                          <w:txbxContent>
                            <w:p w14:paraId="485BFD77">
                              <w:pPr>
                                <w:jc w:val="center"/>
                                <w:rPr>
                                  <w:b/>
                                </w:rPr>
                              </w:pPr>
                              <w:r>
                                <w:rPr>
                                  <w:rFonts w:hint="eastAsia"/>
                                  <w:b/>
                                </w:rPr>
                                <w:t>热水</w:t>
                              </w:r>
                            </w:p>
                          </w:txbxContent>
                        </v:textbox>
                      </v:shape>
                      <v:group id="_x0000_s1026" o:spid="_x0000_s1026" o:spt="203" style="position:absolute;left:8786;top:301056;height:3025;width:122;" coordorigin="7889,540480" coordsize="122,2988"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line id="_x0000_s1026" o:spid="_x0000_s1026" o:spt="20" style="position:absolute;left:8001;top:542720;flip:x y;height:748;width:11;" filled="f" stroked="t" coordsize="21600,21600" o:gfxdata="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2qghvQAA&#10;ANsAAAAPAAAAAAAAAAEAIAAAACIAAABkcnMvZG93bnJldi54bWxQSwECFAAUAAAACACHTuJAMy8F&#10;njsAAAA5AAAAEAAAAAAAAAABACAAAAAMAQAAZHJzL3NoYXBleG1sLnhtbFBLBQYAAAAABgAGAFsB&#10;AAC2AwAAAAA=&#10;">
                          <v:fill on="f" focussize="0,0"/>
                          <v:stroke color="#000000" joinstyle="round" dashstyle="dash"/>
                          <v:imagedata o:title=""/>
                          <o:lock v:ext="edit" aspectratio="f"/>
                        </v:line>
                        <v:line id="_x0000_s1026" o:spid="_x0000_s1026" o:spt="20" style="position:absolute;left:7977;top:540480;flip:y;height:1913;width:3;" filled="f" stroked="t" coordsize="21600,21600" o:gfxdata="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7m8me5AAAA2wAA&#10;AA8AAAAAAAAAAQAgAAAAIgAAAGRycy9kb3ducmV2LnhtbFBLAQIUABQAAAAIAIdO4kAzLwWeOwAA&#10;ADkAAAAQAAAAAAAAAAEAIAAAAAgBAABkcnMvc2hhcGV4bWwueG1sUEsFBgAAAAAGAAYAWwEAALID&#10;AAAAAA==&#10;">
                          <v:fill on="f" focussize="0,0"/>
                          <v:stroke color="#000000" joinstyle="round" dashstyle="dash"/>
                          <v:imagedata o:title=""/>
                          <o:lock v:ext="edit" aspectratio="f"/>
                        </v:line>
                        <v:shape id="_x0000_s1026" o:spid="_x0000_s1026" o:spt="100" style="position:absolute;left:7889;top:542393;height:327;width:103;" filled="f" stroked="t" coordsize="103,341" o:gfxdata="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T0V+/&#10;AAAA2wAAAA8AAAAAAAAAAQAgAAAAIgAAAGRycy9kb3ducmV2LnhtbFBLAQIUABQAAAAIAIdO4kAz&#10;LwWeOwAAADkAAAAQAAAAAAAAAAEAIAAAAA4BAABkcnMvc2hhcGV4bWwueG1sUEsFBgAAAAAGAAYA&#10;WwEAALgDAAAAAA==&#10;" path="m87,0c73,32,0,134,3,191c6,248,82,310,103,341e">
                          <v:fill on="f" focussize="0,0"/>
                          <v:stroke color="#000000" joinstyle="round" dashstyle="dash"/>
                          <v:imagedata o:title=""/>
                          <o:lock v:ext="edit" aspectratio="f"/>
                        </v:shape>
                      </v:group>
                      <v:shape id="_x0000_s1026" o:spid="_x0000_s1026" o:spt="202" type="#_x0000_t202" style="position:absolute;left:5305;top:301087;height:407;width:1035;" filled="f" stroked="f" coordsize="21600,21600" o:gfxdata="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38s425AAAA2wAA&#10;AA8AAAAAAAAAAQAgAAAAIgAAAGRycy9kb3ducmV2LnhtbFBLAQIUABQAAAAIAIdO4kAzLwWeOwAA&#10;ADkAAAAQAAAAAAAAAAEAIAAAAAgBAABkcnMvc2hhcGV4bWwueG1sUEsFBgAAAAAGAAYAWwEAALID&#10;AAAAAA==&#10;">
                        <v:fill on="f" focussize="0,0"/>
                        <v:stroke on="f" weight="1pt"/>
                        <v:imagedata o:title=""/>
                        <o:lock v:ext="edit" aspectratio="f"/>
                        <v:textbox inset="0mm,0mm,0mm,0mm">
                          <w:txbxContent>
                            <w:p w14:paraId="25EE3B63">
                              <w:pPr>
                                <w:jc w:val="center"/>
                                <w:rPr>
                                  <w:b/>
                                </w:rPr>
                              </w:pPr>
                              <w:r>
                                <w:rPr>
                                  <w:rFonts w:hint="eastAsia"/>
                                  <w:b/>
                                </w:rPr>
                                <w:t>医疗护理</w:t>
                              </w:r>
                            </w:p>
                          </w:txbxContent>
                        </v:textbox>
                      </v:shape>
                      <v:line id="_x0000_s1026" o:spid="_x0000_s1026" o:spt="20" style="position:absolute;left:7453;top:295647;height:1189;width:0;" filled="f" stroked="t" coordsize="21600,21600" o:gfxdata="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iDp6/&#10;AAAA2wAAAA8AAAAAAAAAAQAgAAAAIgAAAGRycy9kb3ducmV2LnhtbFBLAQIUABQAAAAIAIdO4kAz&#10;LwWeOwAAADkAAAAQAAAAAAAAAAEAIAAAAA4BAABkcnMvc2hhcGV4bWwueG1sUEsFBgAAAAAGAAYA&#10;WwEAALgDAAAAAA==&#10;">
                        <v:fill on="f" focussize="0,0"/>
                        <v:stroke weight="1.5pt" color="#000000" joinstyle="round" endarrow="block" endarrowwidth="wide" endarrowlength="long"/>
                        <v:imagedata o:title=""/>
                        <o:lock v:ext="edit" aspectratio="f"/>
                      </v:line>
                      <v:line id="_x0000_s1026" o:spid="_x0000_s1026" o:spt="20" style="position:absolute;left:8481;top:298068;flip:y;height:14;width:669;" filled="f" stroked="t" coordsize="21600,21600" o:gfxdata="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8OFyrtAAAANsAAAAPAAAA&#10;AAAAAAEAIAAAACIAAABkcnMvZG93bnJldi54bWxQSwECFAAUAAAACACHTuJAMy8FnjsAAAA5AAAA&#10;EAAAAAAAAAABACAAAAADAQAAZHJzL3NoYXBleG1sLnhtbFBLBQYAAAAABgAGAFsBAACtAwAAAAA=&#10;">
                        <v:fill on="f" focussize="0,0"/>
                        <v:stroke color="#000000" joinstyle="round" dashstyle="dash" endarrow="block"/>
                        <v:imagedata o:title=""/>
                        <o:lock v:ext="edit" aspectratio="f"/>
                      </v:line>
                      <v:shape id="_x0000_s1026" o:spid="_x0000_s1026" o:spt="202" type="#_x0000_t202" style="position:absolute;left:9023;top:297889;height:376;width:1067;" filled="f" stroked="f" coordsize="21600,21600" o:gfxdata="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yxuYi5AAAA2wAA&#10;AA8AAAAAAAAAAQAgAAAAIgAAAGRycy9kb3ducmV2LnhtbFBLAQIUABQAAAAIAIdO4kAzLwWeOwAA&#10;ADkAAAAQAAAAAAAAAAEAIAAAAAgBAABkcnMvc2hhcGV4bWwueG1sUEsFBgAAAAAGAAYAWwEAALID&#10;AAAAAA==&#10;">
                        <v:fill on="f" focussize="0,0"/>
                        <v:stroke on="f" weight="1pt"/>
                        <v:imagedata o:title=""/>
                        <o:lock v:ext="edit" aspectratio="f"/>
                        <v:textbox inset="0mm,0mm,0mm,0mm">
                          <w:txbxContent>
                            <w:p w14:paraId="54CB3662">
                              <w:pPr>
                                <w:jc w:val="center"/>
                                <w:rPr>
                                  <w:b/>
                                  <w:i/>
                                  <w:u w:val="single"/>
                                </w:rPr>
                              </w:pPr>
                              <w:r>
                                <w:rPr>
                                  <w:rFonts w:hint="eastAsia"/>
                                  <w:b/>
                                  <w:i/>
                                  <w:u w:val="single"/>
                                </w:rPr>
                                <w:t>检验废水</w:t>
                              </w:r>
                            </w:p>
                          </w:txbxContent>
                        </v:textbox>
                      </v:shape>
                      <v:shape id="_x0000_s1026" o:spid="_x0000_s1026" o:spt="202" type="#_x0000_t202" style="position:absolute;left:10894;top:299869;height:551;width:957;" fillcolor="#FFFFFF" filled="t" stroked="t" coordsize="21600,21600" o:gfxdata="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6QsKC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0mm,0mm,0mm,0mm">
                          <w:txbxContent>
                            <w:p w14:paraId="210BF442">
                              <w:pPr>
                                <w:spacing w:line="240" w:lineRule="exact"/>
                                <w:ind w:left="-105" w:leftChars="-50" w:right="-105" w:rightChars="-50"/>
                                <w:jc w:val="center"/>
                                <w:rPr>
                                  <w:rFonts w:ascii="Calibri" w:hAnsi="Calibri"/>
                                  <w:sz w:val="18"/>
                                  <w:szCs w:val="18"/>
                                </w:rPr>
                              </w:pPr>
                              <w:r>
                                <w:rPr>
                                  <w:rFonts w:hint="eastAsia" w:ascii="Calibri" w:hAnsi="Calibri"/>
                                  <w:sz w:val="18"/>
                                  <w:szCs w:val="18"/>
                                </w:rPr>
                                <w:t>送资质单</w:t>
                              </w:r>
                            </w:p>
                            <w:p w14:paraId="74D623CB">
                              <w:pPr>
                                <w:spacing w:line="240" w:lineRule="exact"/>
                                <w:ind w:left="-105" w:leftChars="-50" w:right="-105" w:rightChars="-50"/>
                                <w:jc w:val="center"/>
                                <w:rPr>
                                  <w:rFonts w:ascii="Calibri" w:hAnsi="Calibri"/>
                                  <w:sz w:val="18"/>
                                  <w:szCs w:val="18"/>
                                </w:rPr>
                              </w:pPr>
                              <w:r>
                                <w:rPr>
                                  <w:rFonts w:hint="eastAsia" w:ascii="Calibri" w:hAnsi="Calibri"/>
                                  <w:sz w:val="18"/>
                                  <w:szCs w:val="18"/>
                                </w:rPr>
                                <w:t>位处理</w:t>
                              </w:r>
                            </w:p>
                          </w:txbxContent>
                        </v:textbox>
                      </v:shape>
                      <v:line id="_x0000_s1026" o:spid="_x0000_s1026" o:spt="20" style="position:absolute;left:11061;top:301691;flip:y;height:1;width:465;" filled="f" stroked="t" coordsize="21600,21600" o:gfxdata="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Ntj67sAAADb&#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shape id="_x0000_s1026" o:spid="_x0000_s1026" o:spt="202" type="#_x0000_t202" style="position:absolute;left:11526;top:301527;height:813;width:484;" filled="f" stroked="f" coordsize="21600,21600" o:gfxdata="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GI2UL4A&#10;AADbAAAADwAAAAAAAAABACAAAAAiAAAAZHJzL2Rvd25yZXYueG1sUEsBAhQAFAAAAAgAh07iQDMv&#10;BZ47AAAAOQAAABAAAAAAAAAAAQAgAAAADQEAAGRycy9zaGFwZXhtbC54bWxQSwUGAAAAAAYABgBb&#10;AQAAtwMAAAAA&#10;">
                        <v:fill on="f" focussize="0,0"/>
                        <v:stroke on="f" weight="1.2pt"/>
                        <v:imagedata o:title=""/>
                        <o:lock v:ext="edit" aspectratio="f"/>
                        <v:textbox inset="0mm,0mm,0mm,0mm">
                          <w:txbxContent>
                            <w:p w14:paraId="156EECEB">
                              <w:pPr>
                                <w:rPr>
                                  <w:b/>
                                  <w:i/>
                                  <w:szCs w:val="21"/>
                                </w:rPr>
                              </w:pPr>
                              <w:r>
                                <w:rPr>
                                  <w:rFonts w:hint="eastAsia"/>
                                  <w:b/>
                                  <w:i/>
                                  <w:szCs w:val="21"/>
                                </w:rPr>
                                <w:t>废气</w:t>
                              </w:r>
                            </w:p>
                          </w:txbxContent>
                        </v:textbox>
                      </v:shape>
                      <v:shape id="_x0000_s1026" o:spid="_x0000_s1026" o:spt="100" style="position:absolute;left:4906;top:301902;height:3159;width:5870;" filled="f" stroked="t" coordsize="6081,3120" o:gfxdata="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o7ii8AAAA&#10;2wAAAA8AAAAAAAAAAQAgAAAAIgAAAGRycy9kb3ducmV2LnhtbFBLAQIUABQAAAAIAIdO4kAzLwWe&#10;OwAAADkAAAAQAAAAAAAAAAEAIAAAAAsBAABkcnMvc2hhcGV4bWwueG1sUEsFBgAAAAAGAAYAWwEA&#10;ALUDAAAAAA==&#10;" path="m0,1655l0,3116,6081,3120,6081,2850,6081,2835,6021,0e">
                        <v:fill on="f" focussize="0,0"/>
                        <v:stroke color="#000000" joinstyle="round" dashstyle="dash" endarrow="block"/>
                        <v:imagedata o:title=""/>
                        <o:lock v:ext="edit" aspectratio="f"/>
                      </v:shape>
                      <v:line id="_x0000_s1026" o:spid="_x0000_s1026" o:spt="20" style="position:absolute;left:6055;top:295704;height:353;width:425;" filled="f" stroked="t" coordsize="21600,21600" o:gfxdata="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wb3E&#10;wAAAANs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shape id="_x0000_s1026" o:spid="_x0000_s1026" o:spt="202" type="#_x0000_t202" style="position:absolute;left:4311;top:295215;height:456;width:982;" fillcolor="#FFFFFF" filled="t" stroked="t" coordsize="21600,21600" o:gfxdata="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ft+u/&#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1mm,0mm,0mm">
                          <w:txbxContent>
                            <w:p w14:paraId="50055F6B">
                              <w:pPr>
                                <w:jc w:val="center"/>
                                <w:rPr>
                                  <w:b/>
                                  <w:bCs/>
                                </w:rPr>
                              </w:pPr>
                              <w:r>
                                <w:rPr>
                                  <w:rFonts w:hint="eastAsia"/>
                                  <w:b/>
                                  <w:bCs/>
                                </w:rPr>
                                <w:t>入院挂号</w:t>
                              </w:r>
                            </w:p>
                          </w:txbxContent>
                        </v:textbox>
                      </v:shape>
                      <v:line id="_x0000_s1026" o:spid="_x0000_s1026" o:spt="20" style="position:absolute;left:5287;top:295424;height:2;width:395;" filled="f" stroked="t" coordsize="21600,21600" o:gfxdata="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z9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202" type="#_x0000_t202" style="position:absolute;left:5686;top:295223;height:456;width:778;" fillcolor="#FFFFFF" filled="t" stroked="t" coordsize="21600,21600" o:gfxdata="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MhgK/&#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inset="0mm,1mm,0mm,0mm">
                          <w:txbxContent>
                            <w:p w14:paraId="0B86943E">
                              <w:pPr>
                                <w:jc w:val="center"/>
                                <w:rPr>
                                  <w:b/>
                                  <w:bCs/>
                                </w:rPr>
                              </w:pPr>
                              <w:r>
                                <w:rPr>
                                  <w:rFonts w:hint="eastAsia"/>
                                  <w:b/>
                                  <w:bCs/>
                                </w:rPr>
                                <w:t>门诊</w:t>
                              </w:r>
                            </w:p>
                          </w:txbxContent>
                        </v:textbox>
                      </v:shape>
                      <v:line id="_x0000_s1026" o:spid="_x0000_s1026" o:spt="20" style="position:absolute;left:6464;top:295450;height:0;width:496;" filled="f" stroked="t" coordsize="21600,21600" o:gfxdata="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f6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6960;top:295223;height:456;width:868;" fillcolor="#FFFFFF" filled="t" stroked="t" coordsize="21600,21600" o:gfxdata="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koq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1mm,0mm,0mm">
                          <w:txbxContent>
                            <w:p w14:paraId="788AB44F">
                              <w:pPr>
                                <w:jc w:val="center"/>
                                <w:rPr>
                                  <w:rFonts w:ascii="Calibri" w:hAnsi="Calibri"/>
                                  <w:b/>
                                  <w:szCs w:val="21"/>
                                </w:rPr>
                              </w:pPr>
                              <w:r>
                                <w:rPr>
                                  <w:rFonts w:hint="eastAsia" w:ascii="Calibri" w:hAnsi="Calibri"/>
                                  <w:b/>
                                  <w:szCs w:val="21"/>
                                </w:rPr>
                                <w:t>检查</w:t>
                              </w:r>
                            </w:p>
                          </w:txbxContent>
                        </v:textbox>
                      </v:shape>
                      <v:shape id="_x0000_s1026" o:spid="_x0000_s1026" o:spt="202" type="#_x0000_t202" style="position:absolute;left:8357;top:295185;height:455;width:868;" fillcolor="#FFFFFF" filled="t" stroked="t" coordsize="21600,21600" o:gfxdata="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QBTA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1mm,0mm,0mm">
                          <w:txbxContent>
                            <w:p w14:paraId="0DACCA6E">
                              <w:pPr>
                                <w:jc w:val="center"/>
                                <w:rPr>
                                  <w:rFonts w:ascii="Calibri" w:hAnsi="Calibri"/>
                                  <w:b/>
                                  <w:szCs w:val="21"/>
                                </w:rPr>
                              </w:pPr>
                              <w:r>
                                <w:rPr>
                                  <w:rFonts w:hint="eastAsia" w:ascii="Calibri" w:hAnsi="Calibri"/>
                                  <w:b/>
                                  <w:szCs w:val="21"/>
                                </w:rPr>
                                <w:t>取药</w:t>
                              </w:r>
                            </w:p>
                          </w:txbxContent>
                        </v:textbox>
                      </v:shape>
                      <v:line id="_x0000_s1026" o:spid="_x0000_s1026" o:spt="20" style="position:absolute;left:9225;top:295412;height:0;width:496;" filled="f" stroked="t" coordsize="21600,21600" o:gfxdata="UEsDBAoAAAAAAIdO4kAAAAAAAAAAAAAAAAAEAAAAZHJzL1BLAwQUAAAACACHTuJAFm9gwb0AAADc&#10;AAAADwAAAGRycy9kb3ducmV2LnhtbEVP32vCMBB+H/g/hBP2NpM6kN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b2D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9566;top:295250;height:456;width:868;" filled="f" stroked="f" coordsize="21600,21600" o:gfxdata="UEsDBAoAAAAAAIdO4kAAAAAAAAAAAAAAAAAEAAAAZHJzL1BLAwQUAAAACACHTuJA2LtQYbwAAADc&#10;AAAADwAAAGRycy9kb3ducmV2LnhtbEVPS2sCMRC+C/6HMAVvmlhE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7UG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F5CFDE7">
                              <w:pPr>
                                <w:jc w:val="center"/>
                                <w:rPr>
                                  <w:b/>
                                  <w:bCs/>
                                </w:rPr>
                              </w:pPr>
                              <w:r>
                                <w:rPr>
                                  <w:rFonts w:hint="eastAsia"/>
                                  <w:b/>
                                  <w:bCs/>
                                </w:rPr>
                                <w:t>离院</w:t>
                              </w:r>
                            </w:p>
                          </w:txbxContent>
                        </v:textbox>
                      </v:shape>
                      <v:shape id="_x0000_s1026" o:spid="_x0000_s1026" o:spt="202" type="#_x0000_t202" style="position:absolute;left:4576;top:294145;height:455;width:743;" filled="f" stroked="f" coordsize="21600,21600" o:gfxdata="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la4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D409065">
                              <w:pPr>
                                <w:jc w:val="center"/>
                                <w:rPr>
                                  <w:b/>
                                  <w:bCs/>
                                </w:rPr>
                              </w:pPr>
                              <w:r>
                                <w:rPr>
                                  <w:rFonts w:hint="eastAsia"/>
                                  <w:b/>
                                  <w:bCs/>
                                </w:rPr>
                                <w:t>病人</w:t>
                              </w:r>
                            </w:p>
                          </w:txbxContent>
                        </v:textbox>
                      </v:shape>
                      <v:line id="_x0000_s1026" o:spid="_x0000_s1026" o:spt="20" style="position:absolute;left:6045;top:294556;flip:y;height:667;width:645;" filled="f" stroked="t" coordsize="21600,21600" o:gfxdata="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FkgZvQAA&#10;ANwAAAAPAAAAAAAAAAEAIAAAACIAAABkcnMvZG93bnJldi54bWxQSwECFAAUAAAACACHTuJAMy8F&#10;njsAAAA5AAAAEAAAAAAAAAABACAAAAAMAQAAZHJzL3NoYXBleG1sLnhtbFBLBQYAAAAABgAGAFsB&#10;AAC2AwAAAAA=&#10;">
                        <v:fill on="f" focussize="0,0"/>
                        <v:stroke color="#000000" joinstyle="round" dashstyle="1 1" endarrow="block"/>
                        <v:imagedata o:title=""/>
                        <o:lock v:ext="edit" aspectratio="f"/>
                      </v:line>
                      <v:line id="_x0000_s1026" o:spid="_x0000_s1026" o:spt="20" style="position:absolute;left:6776;top:294544;flip:x y;height:679;width:283;" filled="f" stroked="t" coordsize="21600,21600" o:gfxdata="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NEfqvQAA&#10;ANwAAAAPAAAAAAAAAAEAIAAAACIAAABkcnMvZG93bnJldi54bWxQSwECFAAUAAAACACHTuJAMy8F&#10;njsAAAA5AAAAEAAAAAAAAAABACAAAAAMAQAAZHJzL3NoYXBleG1sLnhtbFBLBQYAAAAABgAGAFsB&#10;AAC2AwAAAAA=&#10;">
                        <v:fill on="f" focussize="0,0"/>
                        <v:stroke color="#000000" joinstyle="round" dashstyle="1 1" endarrow="block"/>
                        <v:imagedata o:title=""/>
                        <o:lock v:ext="edit" aspectratio="f"/>
                      </v:line>
                      <v:line id="_x0000_s1026" o:spid="_x0000_s1026" o:spt="20" style="position:absolute;left:7845;top:295412;height:0;width:496;" filled="f" stroked="t" coordsize="21600,21600" o:gfxdata="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1c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751;top:295677;flip:x;height:380;width:544;" filled="f" stroked="t" coordsize="21600,21600" o:gfxdata="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9YH7sAAADc&#10;AAAADwAAAAAAAAABACAAAAAiAAAAZHJzL2Rvd25yZXYueG1sUEsBAhQAFAAAAAgAh07iQDMvBZ47&#10;AAAAOQAAABAAAAAAAAAAAQAgAAAACgEAAGRycy9zaGFwZXhtbC54bWxQSwUGAAAAAAYABgBbAQAA&#10;tAMAAAAA&#10;">
                        <v:fill on="f" focussize="0,0"/>
                        <v:stroke color="#000000" joinstyle="round" dashstyle="dash" endarrow="block"/>
                        <v:imagedata o:title=""/>
                        <o:lock v:ext="edit" aspectratio="f"/>
                      </v:line>
                      <v:line id="_x0000_s1026" o:spid="_x0000_s1026" o:spt="20" style="position:absolute;left:7126;top:294388;flip:y;height:2;width:859;" filled="f" stroked="t" coordsize="21600,21600" o:gfxdata="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vD/YS5AAAA3A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shape id="_x0000_s1026" o:spid="_x0000_s1026" o:spt="202" type="#_x0000_t202" style="position:absolute;left:7949;top:294257;height:343;width:2587;" filled="f" stroked="f" coordsize="21600,21600" o:gfxdata="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et+W8AAAA&#10;3AAAAA8AAAAAAAAAAQAgAAAAIgAAAGRycy9kb3ducmV2LnhtbFBLAQIUABQAAAAIAIdO4kAzLwWe&#10;OwAAADkAAAAQAAAAAAAAAAEAIAAAAAsBAABkcnMvc2hhcGV4bWwueG1sUEsFBgAAAAAGAAYAWwEA&#10;ALUDAAAAAA==&#10;">
                        <v:fill on="f" focussize="0,0"/>
                        <v:stroke on="f" weight="1pt"/>
                        <v:imagedata o:title=""/>
                        <o:lock v:ext="edit" aspectratio="f"/>
                        <v:textbox inset="0mm,0mm,0mm,0mm">
                          <w:txbxContent>
                            <w:p w14:paraId="41035E2E">
                              <w:pPr>
                                <w:rPr>
                                  <w:rFonts w:ascii="Calibri" w:hAnsi="Calibri"/>
                                  <w:sz w:val="18"/>
                                  <w:szCs w:val="18"/>
                                </w:rPr>
                              </w:pPr>
                              <w:r>
                                <w:rPr>
                                  <w:rFonts w:hint="eastAsia" w:ascii="Calibri" w:hAnsi="Calibri"/>
                                  <w:sz w:val="18"/>
                                  <w:szCs w:val="18"/>
                                </w:rPr>
                                <w:t>收集后委托环卫部门处理</w:t>
                              </w:r>
                            </w:p>
                          </w:txbxContent>
                        </v:textbox>
                      </v:shape>
                      <v:shape id="_x0000_s1026" o:spid="_x0000_s1026" o:spt="202" type="#_x0000_t202" style="position:absolute;left:6050;top:296043;height:317;width:1116;"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688DA1E9">
                              <w:pPr>
                                <w:jc w:val="center"/>
                                <w:rPr>
                                  <w:b/>
                                  <w:i/>
                                  <w:u w:val="single"/>
                                </w:rPr>
                              </w:pPr>
                              <w:r>
                                <w:rPr>
                                  <w:rFonts w:hint="eastAsia"/>
                                  <w:b/>
                                  <w:i/>
                                  <w:u w:val="single"/>
                                </w:rPr>
                                <w:t>污 水</w:t>
                              </w:r>
                            </w:p>
                          </w:txbxContent>
                        </v:textbox>
                      </v:shape>
                      <v:shape id="_x0000_s1026" o:spid="_x0000_s1026" o:spt="202" type="#_x0000_t202" style="position:absolute;left:6186;top:294269;height:389;width:1115;"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A2D6153">
                              <w:pPr>
                                <w:jc w:val="center"/>
                                <w:rPr>
                                  <w:rFonts w:ascii="Calibri" w:hAnsi="Calibri"/>
                                  <w:b/>
                                  <w:szCs w:val="21"/>
                                </w:rPr>
                              </w:pPr>
                              <w:r>
                                <w:rPr>
                                  <w:rFonts w:hint="eastAsia" w:ascii="Calibri" w:hAnsi="Calibri"/>
                                  <w:b/>
                                  <w:szCs w:val="21"/>
                                </w:rPr>
                                <w:t>固 废</w:t>
                              </w:r>
                            </w:p>
                          </w:txbxContent>
                        </v:textbox>
                      </v:shape>
                      <v:shape id="_x0000_s1026" o:spid="_x0000_s1026" o:spt="100" style="position:absolute;left:6891;top:296202;height:5296;width:3363;" filled="f" stroked="t" coordsize="3363,5220" o:gfxdata="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XfugAAANwA&#10;AAAPAAAAAAAAAAEAIAAAACIAAABkcnMvZG93bnJldi54bWxQSwECFAAUAAAACACHTuJAMy8FnjsA&#10;AAA5AAAAEAAAAAAAAAABACAAAAAJAQAAZHJzL3NoYXBleG1sLnhtbFBLBQYAAAAABgAGAFsBAACz&#10;AwAAAAA=&#10;" path="m0,0l3360,0,3363,5220e">
                        <v:fill on="f" focussize="0,0"/>
                        <v:stroke color="#000000" joinstyle="round" dashstyle="dash" endarrow="block"/>
                        <v:imagedata o:title=""/>
                        <o:lock v:ext="edit" aspectratio="f"/>
                      </v:shape>
                      <v:shape id="_x0000_s1026" o:spid="_x0000_s1026" o:spt="202" type="#_x0000_t202" style="position:absolute;left:8927;top:298194;height:482;width:1308;" filled="f" stroked="f" coordsize="21600,21600" o:gfxdata="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0pbHmtwAAANwAAAAP&#10;AAAAAAAAAAEAIAAAACIAAABkcnMvZG93bnJldi54bWxQSwECFAAUAAAACACHTuJAMy8FnjsAAAA5&#10;AAAAEAAAAAAAAAABACAAAAAGAQAAZHJzL3NoYXBleG1sLnhtbFBLBQYAAAAABgAGAFsBAACwAwAA&#10;AAA=&#10;">
                        <v:fill on="f" focussize="0,0"/>
                        <v:stroke on="f" weight="1pt"/>
                        <v:imagedata o:title=""/>
                        <o:lock v:ext="edit" aspectratio="f"/>
                        <v:textbox inset="0mm,0mm,0mm,0mm">
                          <w:txbxContent>
                            <w:p w14:paraId="6797C54E">
                              <w:pPr>
                                <w:jc w:val="center"/>
                                <w:rPr>
                                  <w:b/>
                                  <w:i/>
                                  <w:u w:val="single"/>
                                </w:rPr>
                              </w:pPr>
                              <w:r>
                                <w:rPr>
                                  <w:rFonts w:hint="eastAsia"/>
                                  <w:b/>
                                  <w:i/>
                                  <w:u w:val="single"/>
                                </w:rPr>
                                <w:t>医疗废物</w:t>
                              </w:r>
                            </w:p>
                          </w:txbxContent>
                        </v:textbox>
                      </v:shape>
                      <v:line id="_x0000_s1026" o:spid="_x0000_s1026" o:spt="20" style="position:absolute;left:8511;top:298356;flip:y;height:14;width:669;" filled="f" stroked="t" coordsize="21600,21600" o:gfxdata="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bZsBrtwAAANwAAAAP&#10;AAAAAAAAAAEAIAAAACIAAABkcnMvZG93bnJldi54bWxQSwECFAAUAAAACACHTuJAMy8FnjsAAAA5&#10;AAAAEAAAAAAAAAABACAAAAAGAQAAZHJzL3NoYXBleG1sLnhtbFBLBQYAAAAABgAGAFsBAACwAwAA&#10;AAA=&#10;">
                        <v:fill on="f" focussize="0,0"/>
                        <v:stroke color="#000000" joinstyle="round" dashstyle="dash" endarrow="block"/>
                        <v:imagedata o:title=""/>
                        <o:lock v:ext="edit" aspectratio="f"/>
                      </v:line>
                      <v:group id="_x0000_s1026" o:spid="_x0000_s1026" o:spt="203" style="position:absolute;left:10079;top:298363;height:930;width:602;" coordorigin="9182,537821" coordsize="602,919"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o:lock v:ext="edit" aspectratio="f"/>
                        <v:line id="_x0000_s1026" o:spid="_x0000_s1026" o:spt="20" style="position:absolute;left:9182;top:537821;height:1;width:585;" filled="f" stroked="t" coordsize="21600,21600" o:gfxdata="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Y70O/&#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_x0000_s1026" o:spid="_x0000_s1026" o:spt="20" style="position:absolute;left:9783;top:537859;flip:x;height:881;width:1;" filled="f" stroked="t" coordsize="21600,21600" o:gfxdata="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18YK5AAAA3A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group>
                      <v:line id="_x0000_s1026" o:spid="_x0000_s1026" o:spt="20" style="position:absolute;left:10005;top:298063;height:7;width:331;" filled="f" stroked="t" coordsize="21600,21600" o:gfxdata="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tW0t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shape id="_x0000_s1026" o:spid="_x0000_s1026" o:spt="202" type="#_x0000_t202" style="position:absolute;left:10344;top:297878;height:294;width:688;" fillcolor="#FFFFFF" filled="t" stroked="t" coordsize="21600,21600" o:gfxdata="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k8sM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0mm,0mm,0mm,0mm">
                          <w:txbxContent>
                            <w:p w14:paraId="1F1CF54F">
                              <w:pPr>
                                <w:jc w:val="center"/>
                                <w:rPr>
                                  <w:rFonts w:ascii="Calibri" w:hAnsi="Calibri"/>
                                  <w:sz w:val="18"/>
                                  <w:szCs w:val="18"/>
                                </w:rPr>
                              </w:pPr>
                              <w:r>
                                <w:rPr>
                                  <w:rFonts w:hint="eastAsia" w:ascii="Calibri" w:hAnsi="Calibri"/>
                                  <w:sz w:val="18"/>
                                  <w:szCs w:val="18"/>
                                </w:rPr>
                                <w:t>预处理</w:t>
                              </w:r>
                            </w:p>
                          </w:txbxContent>
                        </v:textbox>
                      </v:shape>
                      <v:line id="_x0000_s1026" o:spid="_x0000_s1026" o:spt="20" style="position:absolute;left:10708;top:297580;flip:x y;height:299;width:3;" filled="f" stroked="t" coordsize="21600,21600" o:gfxdata="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AF4S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shape id="_x0000_s1026" o:spid="_x0000_s1026" o:spt="202" type="#_x0000_t202" style="position:absolute;left:10361;top:297217;height:364;width:688;" fillcolor="#FFFFFF" filled="t" stroked="t" coordsize="21600,21600" o:gfxdata="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29u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14:paraId="4E5F6C19">
                              <w:pPr>
                                <w:jc w:val="center"/>
                                <w:rPr>
                                  <w:rFonts w:ascii="Calibri" w:hAnsi="Calibri"/>
                                  <w:sz w:val="18"/>
                                  <w:szCs w:val="18"/>
                                </w:rPr>
                              </w:pPr>
                              <w:r>
                                <w:rPr>
                                  <w:rFonts w:hint="eastAsia" w:ascii="Calibri" w:hAnsi="Calibri"/>
                                  <w:sz w:val="18"/>
                                  <w:szCs w:val="18"/>
                                </w:rPr>
                                <w:t>污水站</w:t>
                              </w:r>
                            </w:p>
                          </w:txbxContent>
                        </v:textbox>
                      </v:shape>
                      <v:line id="_x0000_s1026" o:spid="_x0000_s1026" o:spt="20" style="position:absolute;left:11217;top:299458;height:1;width:292;" filled="f" stroked="t" coordsize="21600,21600" o:gfxdata="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w8OYugAAANwA&#10;AAAPAAAAAAAAAAEAIAAAACIAAABkcnMvZG93bnJldi54bWxQSwECFAAUAAAACACHTuJAMy8FnjsA&#10;AAA5AAAAEAAAAAAAAAABACAAAAAJAQAAZHJzL3NoYXBleG1sLnhtbFBLBQYAAAAABgAGAFsBAACz&#10;AwAAAAA=&#10;">
                        <v:fill on="f" focussize="0,0"/>
                        <v:stroke weight="1pt" color="#000000" joinstyle="round" dashstyle="dash"/>
                        <v:imagedata o:title=""/>
                        <o:lock v:ext="edit" aspectratio="f"/>
                      </v:line>
                      <v:line id="_x0000_s1026" o:spid="_x0000_s1026" o:spt="20" style="position:absolute;left:11511;top:299507;height:318;width:0;" filled="f" stroked="t" coordsize="21600,21600" o:gfxdata="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EohWvQAA&#10;ANwAAAAPAAAAAAAAAAEAIAAAACIAAABkcnMvZG93bnJldi54bWxQSwECFAAUAAAACACHTuJAMy8F&#10;njsAAAA5AAAAEAAAAAAAAAABACAAAAAMAQAAZHJzL3NoYXBleG1sLnhtbFBLBQYAAAAABgAGAFsB&#10;AAC2AwAAAAA=&#10;">
                        <v:fill on="f" focussize="0,0"/>
                        <v:stroke weight="1pt" color="#000000" joinstyle="round" dashstyle="dash" endarrow="block"/>
                        <v:imagedata o:title=""/>
                        <o:lock v:ext="edit" aspectratio="f"/>
                      </v:line>
                      <v:line id="_x0000_s1026" o:spid="_x0000_s1026" o:spt="20" style="position:absolute;left:8425;top:304835;height:0;width:1080;" filled="f" stroked="t" coordsize="21600,21600" o:gfxdata="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hj7r4A&#10;AADaAAAADwAAAAAAAAABACAAAAAiAAAAZHJzL2Rvd25yZXYueG1sUEsBAhQAFAAAAAgAh07iQDMv&#10;BZ47AAAAOQAAABAAAAAAAAAAAQAgAAAADQEAAGRycy9zaGFwZXhtbC54bWxQSwUGAAAAAAYABgBb&#10;AQAAtwMAAAAA&#10;">
                        <v:fill on="f" focussize="0,0"/>
                        <v:stroke color="#000000" joinstyle="round" dashstyle="dash" endarrow="block"/>
                        <v:imagedata o:title=""/>
                        <o:lock v:ext="edit" aspectratio="f"/>
                      </v:line>
                      <v:shape id="_x0000_s1026" o:spid="_x0000_s1026" o:spt="202" type="#_x0000_t202" style="position:absolute;left:9441;top:304449;height:663;width:996;" filled="f" stroked="f" coordsize="21600,21600" o:gfxdata="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bK+bUAAADaAAAADwAA&#10;AAAAAAABACAAAAAiAAAAZHJzL2Rvd25yZXYueG1sUEsBAhQAFAAAAAgAh07iQDMvBZ47AAAAOQAA&#10;ABAAAAAAAAAAAQAgAAAABAEAAGRycy9zaGFwZXhtbC54bWxQSwUGAAAAAAYABgBbAQAArgMAAAAA&#10;">
                        <v:fill on="f" focussize="0,0"/>
                        <v:stroke on="f" weight="1pt"/>
                        <v:imagedata o:title=""/>
                        <o:lock v:ext="edit" aspectratio="f"/>
                        <v:textbox inset="0mm,0mm,0mm,0mm">
                          <w:txbxContent>
                            <w:p w14:paraId="095773DF">
                              <w:pPr>
                                <w:jc w:val="center"/>
                                <w:rPr>
                                  <w:b/>
                                  <w:sz w:val="18"/>
                                  <w:szCs w:val="18"/>
                                </w:rPr>
                              </w:pPr>
                              <w:r>
                                <w:rPr>
                                  <w:rFonts w:hint="eastAsia"/>
                                  <w:b/>
                                  <w:sz w:val="18"/>
                                  <w:szCs w:val="18"/>
                                </w:rPr>
                                <w:t>委托专业机构清洗</w:t>
                              </w:r>
                            </w:p>
                          </w:txbxContent>
                        </v:textbox>
                      </v:shape>
                      <v:shape id="_x0000_s1026" o:spid="_x0000_s1026" o:spt="202" type="#_x0000_t202" style="position:absolute;left:8415;top:304541;height:451;width:996;" filled="f" stroked="f" coordsize="21600,21600" o:gfxdata="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o959LsAAADc&#10;AAAADwAAAAAAAAABACAAAAAiAAAAZHJzL2Rvd25yZXYueG1sUEsBAhQAFAAAAAgAh07iQDMvBZ47&#10;AAAAOQAAABAAAAAAAAAAAQAgAAAACgEAAGRycy9zaGFwZXhtbC54bWxQSwUGAAAAAAYABgBbAQAA&#10;tAMAAAAA&#10;">
                        <v:fill on="f" focussize="0,0"/>
                        <v:stroke on="f" weight="1pt"/>
                        <v:imagedata o:title=""/>
                        <o:lock v:ext="edit" aspectratio="f"/>
                        <v:textbox inset="0mm,0mm,0mm,0mm">
                          <w:txbxContent>
                            <w:p w14:paraId="62AF29FC">
                              <w:pPr>
                                <w:jc w:val="center"/>
                                <w:rPr>
                                  <w:b/>
                                </w:rPr>
                              </w:pPr>
                              <w:r>
                                <w:rPr>
                                  <w:rFonts w:hint="eastAsia"/>
                                  <w:b/>
                                </w:rPr>
                                <w:t>被服</w:t>
                              </w:r>
                            </w:p>
                          </w:txbxContent>
                        </v:textbox>
                      </v:shape>
                      <v:line id="_x0000_s1026" o:spid="_x0000_s1026" o:spt="20" style="position:absolute;left:4912;top:294544;height:671;width:0;" filled="f" stroked="t" coordsize="21600,21600" o:gfxdata="UEsDBAoAAAAAAIdO4kAAAAAAAAAAAAAAAAAEAAAAZHJzL1BLAwQUAAAACACHTuJArswuU70AAADc&#10;AAAADwAAAGRycy9kb3ducmV2LnhtbEVPS2vCQBC+F/wPywi91U2E1h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zC5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14:paraId="56FBA620">
            <w:pPr>
              <w:pStyle w:val="3"/>
              <w:keepNext w:val="0"/>
              <w:keepLines w:val="0"/>
              <w:suppressLineNumbers w:val="0"/>
              <w:spacing w:before="0" w:beforeAutospacing="0" w:after="0" w:afterAutospacing="0"/>
              <w:ind w:left="0" w:right="0"/>
              <w:rPr>
                <w:rFonts w:hint="default"/>
                <w:color w:val="auto"/>
              </w:rPr>
            </w:pPr>
          </w:p>
          <w:p w14:paraId="6FF97727">
            <w:pPr>
              <w:pStyle w:val="2"/>
              <w:keepNext w:val="0"/>
              <w:keepLines w:val="0"/>
              <w:suppressLineNumbers w:val="0"/>
              <w:spacing w:before="0" w:beforeAutospacing="0" w:afterAutospacing="0"/>
              <w:ind w:right="0"/>
              <w:rPr>
                <w:rFonts w:hint="default"/>
                <w:color w:val="auto"/>
                <w:sz w:val="24"/>
                <w:szCs w:val="28"/>
              </w:rPr>
            </w:pPr>
          </w:p>
          <w:p w14:paraId="4238F8D1">
            <w:pPr>
              <w:pStyle w:val="2"/>
              <w:keepNext w:val="0"/>
              <w:keepLines w:val="0"/>
              <w:suppressLineNumbers w:val="0"/>
              <w:spacing w:before="0" w:beforeAutospacing="0" w:afterAutospacing="0"/>
              <w:ind w:right="0"/>
              <w:rPr>
                <w:rFonts w:hint="default"/>
                <w:color w:val="auto"/>
                <w:sz w:val="24"/>
                <w:szCs w:val="28"/>
              </w:rPr>
            </w:pPr>
          </w:p>
          <w:p w14:paraId="543E176A">
            <w:pPr>
              <w:pStyle w:val="2"/>
              <w:keepNext w:val="0"/>
              <w:keepLines w:val="0"/>
              <w:suppressLineNumbers w:val="0"/>
              <w:spacing w:before="0" w:beforeAutospacing="0" w:afterAutospacing="0"/>
              <w:ind w:right="0"/>
              <w:rPr>
                <w:rFonts w:hint="default"/>
                <w:color w:val="auto"/>
                <w:sz w:val="24"/>
                <w:szCs w:val="28"/>
              </w:rPr>
            </w:pPr>
          </w:p>
          <w:p w14:paraId="5284FB6F">
            <w:pPr>
              <w:pStyle w:val="2"/>
              <w:keepNext w:val="0"/>
              <w:keepLines w:val="0"/>
              <w:suppressLineNumbers w:val="0"/>
              <w:spacing w:before="0" w:beforeAutospacing="0" w:afterAutospacing="0"/>
              <w:ind w:right="0"/>
              <w:rPr>
                <w:rFonts w:hint="default"/>
                <w:color w:val="auto"/>
                <w:sz w:val="24"/>
                <w:szCs w:val="28"/>
              </w:rPr>
            </w:pPr>
          </w:p>
          <w:p w14:paraId="05365173">
            <w:pPr>
              <w:pStyle w:val="2"/>
              <w:keepNext w:val="0"/>
              <w:keepLines w:val="0"/>
              <w:suppressLineNumbers w:val="0"/>
              <w:spacing w:before="0" w:beforeAutospacing="0" w:afterAutospacing="0"/>
              <w:ind w:right="0"/>
              <w:rPr>
                <w:rFonts w:hint="default"/>
                <w:color w:val="auto"/>
                <w:sz w:val="24"/>
                <w:szCs w:val="28"/>
              </w:rPr>
            </w:pPr>
          </w:p>
          <w:p w14:paraId="4FB46EE8">
            <w:pPr>
              <w:pStyle w:val="2"/>
              <w:keepNext w:val="0"/>
              <w:keepLines w:val="0"/>
              <w:suppressLineNumbers w:val="0"/>
              <w:spacing w:before="0" w:beforeAutospacing="0" w:after="0" w:afterAutospacing="0" w:line="100" w:lineRule="exact"/>
              <w:ind w:right="0"/>
              <w:rPr>
                <w:rFonts w:hint="default"/>
                <w:color w:val="auto"/>
                <w:sz w:val="24"/>
                <w:szCs w:val="28"/>
              </w:rPr>
            </w:pPr>
          </w:p>
          <w:p w14:paraId="764261E8">
            <w:pPr>
              <w:pStyle w:val="2"/>
              <w:keepNext w:val="0"/>
              <w:keepLines w:val="0"/>
              <w:suppressLineNumbers w:val="0"/>
              <w:spacing w:before="0" w:beforeAutospacing="0" w:afterAutospacing="0"/>
              <w:ind w:right="0"/>
              <w:rPr>
                <w:rFonts w:hint="default"/>
                <w:color w:val="auto"/>
                <w:sz w:val="24"/>
                <w:szCs w:val="28"/>
              </w:rPr>
            </w:pPr>
          </w:p>
          <w:p w14:paraId="3A84B27C">
            <w:pPr>
              <w:pStyle w:val="2"/>
              <w:keepNext w:val="0"/>
              <w:keepLines w:val="0"/>
              <w:suppressLineNumbers w:val="0"/>
              <w:spacing w:before="0" w:beforeAutospacing="0" w:afterAutospacing="0"/>
              <w:ind w:right="0"/>
              <w:rPr>
                <w:rFonts w:hint="default"/>
                <w:color w:val="auto"/>
                <w:sz w:val="24"/>
                <w:szCs w:val="28"/>
              </w:rPr>
            </w:pPr>
          </w:p>
          <w:p w14:paraId="4AF157F0">
            <w:pPr>
              <w:pStyle w:val="2"/>
              <w:keepNext w:val="0"/>
              <w:keepLines w:val="0"/>
              <w:suppressLineNumbers w:val="0"/>
              <w:spacing w:before="0" w:beforeAutospacing="0" w:afterAutospacing="0"/>
              <w:ind w:right="0"/>
              <w:rPr>
                <w:rFonts w:hint="default"/>
                <w:color w:val="auto"/>
                <w:sz w:val="24"/>
                <w:szCs w:val="28"/>
              </w:rPr>
            </w:pPr>
          </w:p>
          <w:p w14:paraId="157CBE8E">
            <w:pPr>
              <w:pStyle w:val="2"/>
              <w:keepNext w:val="0"/>
              <w:keepLines w:val="0"/>
              <w:suppressLineNumbers w:val="0"/>
              <w:spacing w:before="0" w:beforeAutospacing="0" w:afterAutospacing="0"/>
              <w:ind w:right="0"/>
              <w:rPr>
                <w:rFonts w:hint="default"/>
                <w:color w:val="auto"/>
                <w:sz w:val="24"/>
                <w:szCs w:val="28"/>
              </w:rPr>
            </w:pPr>
          </w:p>
          <w:p w14:paraId="171C7FEA">
            <w:pPr>
              <w:pStyle w:val="2"/>
              <w:keepNext w:val="0"/>
              <w:keepLines w:val="0"/>
              <w:suppressLineNumbers w:val="0"/>
              <w:spacing w:before="0" w:beforeAutospacing="0" w:afterAutospacing="0"/>
              <w:ind w:right="0"/>
              <w:rPr>
                <w:rFonts w:hint="default"/>
                <w:color w:val="auto"/>
                <w:sz w:val="24"/>
                <w:szCs w:val="28"/>
              </w:rPr>
            </w:pPr>
          </w:p>
          <w:p w14:paraId="279756D3">
            <w:pPr>
              <w:pStyle w:val="2"/>
              <w:keepNext w:val="0"/>
              <w:keepLines w:val="0"/>
              <w:suppressLineNumbers w:val="0"/>
              <w:spacing w:before="0" w:beforeAutospacing="0" w:afterAutospacing="0"/>
              <w:ind w:right="0"/>
              <w:rPr>
                <w:rFonts w:hint="default"/>
                <w:color w:val="auto"/>
                <w:sz w:val="24"/>
                <w:szCs w:val="28"/>
              </w:rPr>
            </w:pPr>
          </w:p>
          <w:p w14:paraId="2767F28E">
            <w:pPr>
              <w:pStyle w:val="2"/>
              <w:keepNext w:val="0"/>
              <w:keepLines w:val="0"/>
              <w:suppressLineNumbers w:val="0"/>
              <w:spacing w:before="0" w:beforeAutospacing="0" w:afterAutospacing="0"/>
              <w:ind w:right="0"/>
              <w:rPr>
                <w:rFonts w:hint="default"/>
                <w:color w:val="auto"/>
                <w:sz w:val="24"/>
                <w:szCs w:val="28"/>
              </w:rPr>
            </w:pPr>
          </w:p>
          <w:p w14:paraId="421D20C7">
            <w:pPr>
              <w:pStyle w:val="2"/>
              <w:keepNext w:val="0"/>
              <w:keepLines w:val="0"/>
              <w:suppressLineNumbers w:val="0"/>
              <w:spacing w:before="0" w:beforeAutospacing="0" w:afterAutospacing="0"/>
              <w:ind w:right="0"/>
              <w:rPr>
                <w:rFonts w:hint="default"/>
                <w:color w:val="auto"/>
                <w:sz w:val="24"/>
                <w:szCs w:val="28"/>
              </w:rPr>
            </w:pPr>
            <w:r>
              <w:rPr>
                <w:rFonts w:hint="default"/>
                <w:color w:val="auto"/>
                <w:sz w:val="28"/>
                <w:szCs w:val="28"/>
              </w:rPr>
              <mc:AlternateContent>
                <mc:Choice Requires="wps">
                  <w:drawing>
                    <wp:anchor distT="0" distB="0" distL="114300" distR="114300" simplePos="0" relativeHeight="251664384" behindDoc="0" locked="0" layoutInCell="1" allowOverlap="1">
                      <wp:simplePos x="0" y="0"/>
                      <wp:positionH relativeFrom="column">
                        <wp:posOffset>1053465</wp:posOffset>
                      </wp:positionH>
                      <wp:positionV relativeFrom="paragraph">
                        <wp:posOffset>348615</wp:posOffset>
                      </wp:positionV>
                      <wp:extent cx="2924175" cy="316230"/>
                      <wp:effectExtent l="0" t="0" r="0" b="7620"/>
                      <wp:wrapNone/>
                      <wp:docPr id="10" name="矩形 10"/>
                      <wp:cNvGraphicFramePr/>
                      <a:graphic xmlns:a="http://schemas.openxmlformats.org/drawingml/2006/main">
                        <a:graphicData uri="http://schemas.microsoft.com/office/word/2010/wordprocessingShape">
                          <wps:wsp>
                            <wps:cNvSpPr>
                              <a:spLocks noChangeArrowheads="1"/>
                            </wps:cNvSpPr>
                            <wps:spPr bwMode="auto">
                              <a:xfrm>
                                <a:off x="0" y="0"/>
                                <a:ext cx="2924175" cy="316230"/>
                              </a:xfrm>
                              <a:prstGeom prst="rect">
                                <a:avLst/>
                              </a:prstGeom>
                              <a:noFill/>
                              <a:ln>
                                <a:noFill/>
                              </a:ln>
                              <a:effectLst/>
                            </wps:spPr>
                            <wps:txbx>
                              <w:txbxContent>
                                <w:p w14:paraId="5DEECC02">
                                  <w:pPr>
                                    <w:jc w:val="center"/>
                                    <w:rPr>
                                      <w:rFonts w:ascii="黑体" w:eastAsia="黑体"/>
                                      <w:spacing w:val="-16"/>
                                      <w:szCs w:val="21"/>
                                    </w:rPr>
                                  </w:pPr>
                                  <w:r>
                                    <w:rPr>
                                      <w:rFonts w:eastAsia="黑体"/>
                                      <w:szCs w:val="21"/>
                                    </w:rPr>
                                    <w:t>图</w:t>
                                  </w:r>
                                  <w:r>
                                    <w:rPr>
                                      <w:rFonts w:hint="eastAsia" w:eastAsia="黑体"/>
                                      <w:szCs w:val="21"/>
                                      <w:lang w:val="en-US" w:eastAsia="zh-CN"/>
                                    </w:rPr>
                                    <w:t>2-5</w:t>
                                  </w:r>
                                  <w:r>
                                    <w:rPr>
                                      <w:rFonts w:hint="eastAsia" w:eastAsia="黑体"/>
                                      <w:szCs w:val="21"/>
                                    </w:rPr>
                                    <w:t>：</w:t>
                                  </w:r>
                                  <w:r>
                                    <w:rPr>
                                      <w:rFonts w:hint="eastAsia" w:ascii="黑体" w:eastAsia="黑体"/>
                                      <w:szCs w:val="21"/>
                                      <w:lang w:val="en-US" w:eastAsia="zh-CN"/>
                                    </w:rPr>
                                    <w:t>其他患者就诊</w:t>
                                  </w:r>
                                  <w:r>
                                    <w:rPr>
                                      <w:rFonts w:hint="eastAsia" w:ascii="黑体" w:eastAsia="黑体"/>
                                      <w:szCs w:val="21"/>
                                    </w:rPr>
                                    <w:t>工艺流程及产污环节示意图</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2.95pt;margin-top:27.45pt;height:24.9pt;width:230.25pt;z-index:251664384;mso-width-relative:page;mso-height-relative:page;" filled="f" stroked="f" coordsize="21600,21600" o:gfxdata="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raAHDaAAAACgEAAA8AAAAA&#10;AAAAAQAgAAAAIgAAAGRycy9kb3ducmV2LnhtbFBLAQIUABQAAAAIAIdO4kCTeFw1EgIAABgEAAAO&#10;AAAAAAAAAAEAIAAAACkBAABkcnMvZTJvRG9jLnhtbFBLBQYAAAAABgAGAFkBAACtBQAAAAA=&#10;">
                      <v:fill on="f" focussize="0,0"/>
                      <v:stroke on="f"/>
                      <v:imagedata o:title=""/>
                      <o:lock v:ext="edit" aspectratio="f"/>
                      <v:textbox>
                        <w:txbxContent>
                          <w:p w14:paraId="5DEECC02">
                            <w:pPr>
                              <w:jc w:val="center"/>
                              <w:rPr>
                                <w:rFonts w:ascii="黑体" w:eastAsia="黑体"/>
                                <w:spacing w:val="-16"/>
                                <w:szCs w:val="21"/>
                              </w:rPr>
                            </w:pPr>
                            <w:r>
                              <w:rPr>
                                <w:rFonts w:eastAsia="黑体"/>
                                <w:szCs w:val="21"/>
                              </w:rPr>
                              <w:t>图</w:t>
                            </w:r>
                            <w:r>
                              <w:rPr>
                                <w:rFonts w:hint="eastAsia" w:eastAsia="黑体"/>
                                <w:szCs w:val="21"/>
                                <w:lang w:val="en-US" w:eastAsia="zh-CN"/>
                              </w:rPr>
                              <w:t>2-5</w:t>
                            </w:r>
                            <w:r>
                              <w:rPr>
                                <w:rFonts w:hint="eastAsia" w:eastAsia="黑体"/>
                                <w:szCs w:val="21"/>
                              </w:rPr>
                              <w:t>：</w:t>
                            </w:r>
                            <w:r>
                              <w:rPr>
                                <w:rFonts w:hint="eastAsia" w:ascii="黑体" w:eastAsia="黑体"/>
                                <w:szCs w:val="21"/>
                                <w:lang w:val="en-US" w:eastAsia="zh-CN"/>
                              </w:rPr>
                              <w:t>其他患者就诊</w:t>
                            </w:r>
                            <w:r>
                              <w:rPr>
                                <w:rFonts w:hint="eastAsia" w:ascii="黑体" w:eastAsia="黑体"/>
                                <w:szCs w:val="21"/>
                              </w:rPr>
                              <w:t>工艺流程及产污环节示意图</w:t>
                            </w:r>
                          </w:p>
                        </w:txbxContent>
                      </v:textbox>
                    </v:rect>
                  </w:pict>
                </mc:Fallback>
              </mc:AlternateContent>
            </w:r>
          </w:p>
          <w:p w14:paraId="4B6D0844">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p>
          <w:p w14:paraId="679AB3D7">
            <w:pPr>
              <w:keepNext w:val="0"/>
              <w:keepLines w:val="0"/>
              <w:pageBreakBefore w:val="0"/>
              <w:widowControl w:val="0"/>
              <w:suppressLineNumbers w:val="0"/>
              <w:kinsoku/>
              <w:wordWrap/>
              <w:overflowPunct/>
              <w:topLinePunct w:val="0"/>
              <w:autoSpaceDE w:val="0"/>
              <w:autoSpaceDN w:val="0"/>
              <w:bidi w:val="0"/>
              <w:adjustRightInd w:val="0"/>
              <w:snapToGrid w:val="0"/>
              <w:spacing w:before="120" w:beforeLines="50" w:beforeAutospacing="0" w:after="0" w:afterAutospacing="0" w:line="440" w:lineRule="exact"/>
              <w:ind w:left="0" w:right="0" w:firstLine="422" w:firstLineChars="200"/>
              <w:jc w:val="left"/>
              <w:textAlignment w:val="auto"/>
              <w:rPr>
                <w:rFonts w:hint="default" w:cs="宋体"/>
                <w:b/>
                <w:bCs/>
                <w:color w:val="auto"/>
                <w:kern w:val="0"/>
                <w:szCs w:val="21"/>
              </w:rPr>
            </w:pPr>
            <w:r>
              <w:rPr>
                <w:rFonts w:hint="eastAsia" w:cs="宋体"/>
                <w:b/>
                <w:bCs/>
                <w:color w:val="auto"/>
                <w:kern w:val="0"/>
                <w:szCs w:val="21"/>
              </w:rPr>
              <w:t>（</w:t>
            </w:r>
            <w:r>
              <w:rPr>
                <w:rFonts w:hint="eastAsia" w:cs="宋体"/>
                <w:b/>
                <w:bCs/>
                <w:color w:val="auto"/>
                <w:kern w:val="0"/>
                <w:szCs w:val="21"/>
                <w:lang w:val="en-US" w:eastAsia="zh-CN"/>
              </w:rPr>
              <w:t>3</w:t>
            </w:r>
            <w:r>
              <w:rPr>
                <w:rFonts w:hint="eastAsia" w:cs="宋体"/>
                <w:b/>
                <w:bCs/>
                <w:color w:val="auto"/>
                <w:kern w:val="0"/>
                <w:szCs w:val="21"/>
              </w:rPr>
              <w:t>）产污环节</w:t>
            </w:r>
          </w:p>
          <w:p w14:paraId="3F5B334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2" w:firstLineChars="200"/>
              <w:jc w:val="left"/>
              <w:textAlignment w:val="auto"/>
              <w:rPr>
                <w:rFonts w:hint="default"/>
                <w:bCs/>
                <w:color w:val="auto"/>
                <w:lang w:val="zh-CN"/>
              </w:rPr>
            </w:pPr>
            <w:r>
              <w:rPr>
                <w:rFonts w:hint="eastAsia"/>
                <w:b/>
                <w:bCs/>
                <w:color w:val="auto"/>
                <w:lang w:val="zh-CN"/>
              </w:rPr>
              <w:t>废气：</w:t>
            </w:r>
            <w:r>
              <w:rPr>
                <w:rFonts w:hint="eastAsia"/>
                <w:bCs/>
                <w:color w:val="auto"/>
                <w:lang w:val="zh-CN"/>
              </w:rPr>
              <w:t>项目</w:t>
            </w:r>
            <w:r>
              <w:rPr>
                <w:rFonts w:hint="eastAsia"/>
                <w:bCs/>
                <w:color w:val="auto"/>
                <w:lang w:val="en-US" w:eastAsia="zh-CN"/>
              </w:rPr>
              <w:t>器材</w:t>
            </w:r>
            <w:r>
              <w:rPr>
                <w:rFonts w:hint="eastAsia"/>
                <w:bCs/>
                <w:color w:val="auto"/>
                <w:lang w:val="zh-CN"/>
              </w:rPr>
              <w:t>消毒采用电加热蒸汽锅蒸汽</w:t>
            </w:r>
            <w:r>
              <w:rPr>
                <w:rFonts w:hint="eastAsia"/>
                <w:bCs/>
                <w:color w:val="auto"/>
                <w:lang w:val="en-US" w:eastAsia="zh-CN"/>
              </w:rPr>
              <w:t>消毒</w:t>
            </w:r>
            <w:r>
              <w:rPr>
                <w:rFonts w:hint="eastAsia"/>
                <w:bCs/>
                <w:color w:val="auto"/>
                <w:lang w:val="zh-CN"/>
              </w:rPr>
              <w:t>，电热水器供应热水。院区不设置锅炉。营运期</w:t>
            </w:r>
            <w:r>
              <w:rPr>
                <w:rFonts w:hint="eastAsia"/>
                <w:bCs/>
                <w:color w:val="auto"/>
              </w:rPr>
              <w:t>废</w:t>
            </w:r>
            <w:r>
              <w:rPr>
                <w:rFonts w:hint="eastAsia"/>
                <w:bCs/>
                <w:color w:val="auto"/>
                <w:lang w:val="zh-CN"/>
              </w:rPr>
              <w:t>气污染物主要是医疗废气、污水处理的恶臭气体</w:t>
            </w:r>
            <w:r>
              <w:rPr>
                <w:rFonts w:hint="eastAsia"/>
                <w:bCs/>
                <w:color w:val="auto"/>
                <w:lang w:eastAsia="zh-CN"/>
              </w:rPr>
              <w:t>、</w:t>
            </w:r>
            <w:r>
              <w:rPr>
                <w:rFonts w:hint="eastAsia"/>
                <w:bCs/>
                <w:color w:val="auto"/>
                <w:lang w:val="en-US" w:eastAsia="zh-CN"/>
              </w:rPr>
              <w:t>中药熬煮废气</w:t>
            </w:r>
            <w:r>
              <w:rPr>
                <w:rFonts w:hint="eastAsia"/>
                <w:bCs/>
                <w:color w:val="auto"/>
                <w:lang w:val="zh-CN"/>
              </w:rPr>
              <w:t>。</w:t>
            </w:r>
          </w:p>
          <w:p w14:paraId="01CC6F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2" w:firstLineChars="200"/>
              <w:jc w:val="left"/>
              <w:textAlignment w:val="auto"/>
              <w:rPr>
                <w:rFonts w:hint="default"/>
                <w:bCs/>
                <w:color w:val="auto"/>
                <w:lang w:val="zh-CN"/>
              </w:rPr>
            </w:pPr>
            <w:r>
              <w:rPr>
                <w:rFonts w:hint="eastAsia"/>
                <w:b/>
                <w:bCs/>
                <w:color w:val="auto"/>
                <w:lang w:val="zh-CN"/>
              </w:rPr>
              <w:t>废水：</w:t>
            </w:r>
            <w:r>
              <w:rPr>
                <w:rFonts w:hint="eastAsia"/>
                <w:bCs/>
                <w:color w:val="auto"/>
                <w:lang w:val="zh-CN"/>
              </w:rPr>
              <w:t>项目建成后不涉及核医学科，不开展同位素治疗、放疗，无放射性废水。影像科照片采用数码成像，无废显影液产生。项目不设置牙科，不涉及含汞废水。项目不设洗衣房，医务人员的工作服全部外包给专业的洗衣公司清洗，不产生洗衣废水。检验、病理分析采用新型血球仪，使用SLS方法取代氰化物检验方法，不涉及含氰废水；采用次氯酸钠替代原重铬酸钾、三氧化铬、铬酸钾等化学品，不涉及含铬废水。因此，项目废水主要包括医疗废水、生活污水和检验室的酸碱性废水。</w:t>
            </w:r>
          </w:p>
          <w:p w14:paraId="099C0C6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2" w:firstLineChars="200"/>
              <w:jc w:val="left"/>
              <w:textAlignment w:val="auto"/>
              <w:rPr>
                <w:rFonts w:hint="default"/>
                <w:bCs/>
                <w:color w:val="auto"/>
                <w:lang w:val="zh-CN"/>
              </w:rPr>
            </w:pPr>
            <w:r>
              <w:rPr>
                <w:rFonts w:hint="eastAsia"/>
                <w:b/>
                <w:bCs/>
                <w:color w:val="auto"/>
                <w:lang w:val="zh-CN"/>
              </w:rPr>
              <w:t>噪声：</w:t>
            </w:r>
            <w:r>
              <w:rPr>
                <w:rFonts w:hint="eastAsia"/>
                <w:bCs/>
                <w:color w:val="auto"/>
                <w:lang w:val="zh-CN"/>
              </w:rPr>
              <w:t>营运期噪声主要产生于通风设备、水泵和</w:t>
            </w:r>
            <w:r>
              <w:rPr>
                <w:rFonts w:hint="eastAsia"/>
                <w:bCs/>
                <w:color w:val="auto"/>
                <w:lang w:val="en-US" w:eastAsia="zh-CN"/>
              </w:rPr>
              <w:t>空气能中央空调机组</w:t>
            </w:r>
            <w:r>
              <w:rPr>
                <w:rFonts w:hint="eastAsia"/>
                <w:bCs/>
                <w:color w:val="auto"/>
                <w:lang w:val="zh-CN"/>
              </w:rPr>
              <w:t>运行产生的设备噪声；另外进出项目区域人员产生的社会生活噪声。</w:t>
            </w:r>
          </w:p>
          <w:p w14:paraId="6169818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40" w:lineRule="exact"/>
              <w:ind w:left="0" w:right="0" w:firstLine="422" w:firstLineChars="200"/>
              <w:jc w:val="left"/>
              <w:textAlignment w:val="auto"/>
              <w:rPr>
                <w:rFonts w:hint="default"/>
                <w:bCs/>
                <w:color w:val="auto"/>
                <w:szCs w:val="21"/>
              </w:rPr>
            </w:pPr>
            <w:r>
              <w:rPr>
                <w:rFonts w:hint="eastAsia"/>
                <w:b/>
                <w:bCs/>
                <w:color w:val="auto"/>
                <w:lang w:val="zh-CN"/>
              </w:rPr>
              <w:t>固体废物：</w:t>
            </w:r>
            <w:r>
              <w:rPr>
                <w:rFonts w:hint="eastAsia"/>
                <w:bCs/>
                <w:color w:val="auto"/>
                <w:lang w:val="zh-CN"/>
              </w:rPr>
              <w:t>分为一般固废和危险废物。一般固废包括一次性输液瓶（袋）、纯水制备产生的废石英砂、废活性炭、废树脂，透析机产生的废过滤膜、废渗透膜，废包装袋及生活垃圾。危险废物主要为各类医疗废物、检验室废液、</w:t>
            </w:r>
            <w:r>
              <w:rPr>
                <w:rFonts w:hint="eastAsia"/>
                <w:bCs/>
                <w:color w:val="auto"/>
                <w:lang w:val="en-US" w:eastAsia="zh-CN"/>
              </w:rPr>
              <w:t>废活性炭、</w:t>
            </w:r>
            <w:r>
              <w:rPr>
                <w:rFonts w:hint="eastAsia"/>
                <w:bCs/>
                <w:color w:val="auto"/>
                <w:lang w:val="zh-CN"/>
              </w:rPr>
              <w:t>污水处理</w:t>
            </w:r>
            <w:r>
              <w:rPr>
                <w:rFonts w:hint="eastAsia"/>
                <w:bCs/>
                <w:color w:val="auto"/>
                <w:lang w:val="en-US" w:eastAsia="zh-CN"/>
              </w:rPr>
              <w:t>站的栅渣和</w:t>
            </w:r>
            <w:r>
              <w:rPr>
                <w:rFonts w:hint="eastAsia"/>
                <w:bCs/>
                <w:color w:val="auto"/>
                <w:lang w:val="zh-CN"/>
              </w:rPr>
              <w:t>污泥等。</w:t>
            </w:r>
          </w:p>
        </w:tc>
      </w:tr>
      <w:tr w14:paraId="52D443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823" w:type="dxa"/>
            <w:tcBorders>
              <w:top w:val="single" w:color="auto" w:sz="4" w:space="0"/>
              <w:left w:val="single" w:color="auto" w:sz="8" w:space="0"/>
              <w:bottom w:val="single" w:color="auto" w:sz="8" w:space="0"/>
              <w:right w:val="single" w:color="auto" w:sz="4" w:space="0"/>
            </w:tcBorders>
          </w:tcPr>
          <w:p w14:paraId="6C46BE3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48C947C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028588E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7B8149B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r>
              <w:rPr>
                <w:rFonts w:hint="eastAsia" w:ascii="Times New Roman" w:hAnsi="Times New Roman" w:cs="宋体"/>
                <w:bCs/>
                <w:color w:val="auto"/>
                <w:sz w:val="21"/>
                <w:szCs w:val="21"/>
              </w:rPr>
              <w:t>与项目有关的原有环境污染问题</w:t>
            </w:r>
          </w:p>
          <w:p w14:paraId="2B28C4D8">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0311982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1C31C01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7B5DA42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52517349">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4329126A">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3DA2C81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2E367CF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436A680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3F9D635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70702BC2">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251E0A5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0E084B25">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49E0839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1CE15299">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7407B5F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76B75B0C">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6D8E6C8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77265B6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235BDA5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4051F54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67DC027D">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0D530D4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37B80E8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279D857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35B66C7B">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p>
          <w:p w14:paraId="6D4ACF7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06179E70">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p>
          <w:p w14:paraId="15E4F150">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100" w:lineRule="exact"/>
              <w:ind w:left="0" w:right="0"/>
              <w:jc w:val="center"/>
              <w:textAlignment w:val="auto"/>
              <w:rPr>
                <w:rFonts w:hint="default" w:ascii="Times New Roman" w:hAnsi="Times New Roman" w:cs="宋体"/>
                <w:color w:val="auto"/>
                <w:sz w:val="21"/>
                <w:szCs w:val="21"/>
              </w:rPr>
            </w:pPr>
          </w:p>
          <w:p w14:paraId="13D9B53E">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100" w:lineRule="exact"/>
              <w:ind w:left="0" w:right="0"/>
              <w:jc w:val="center"/>
              <w:textAlignment w:val="auto"/>
              <w:rPr>
                <w:rFonts w:hint="default" w:ascii="Times New Roman" w:hAnsi="Times New Roman" w:cs="宋体"/>
                <w:color w:val="auto"/>
                <w:sz w:val="21"/>
                <w:szCs w:val="21"/>
              </w:rPr>
            </w:pPr>
          </w:p>
          <w:p w14:paraId="705D782B">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100" w:lineRule="exact"/>
              <w:ind w:left="0" w:right="0"/>
              <w:jc w:val="center"/>
              <w:textAlignment w:val="auto"/>
              <w:rPr>
                <w:rFonts w:hint="default" w:ascii="Times New Roman" w:hAnsi="Times New Roman" w:cs="宋体"/>
                <w:color w:val="auto"/>
                <w:sz w:val="21"/>
                <w:szCs w:val="21"/>
              </w:rPr>
            </w:pPr>
          </w:p>
          <w:p w14:paraId="708E7939">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100" w:lineRule="exact"/>
              <w:ind w:left="0" w:right="0"/>
              <w:jc w:val="center"/>
              <w:textAlignment w:val="auto"/>
              <w:rPr>
                <w:rFonts w:hint="default" w:ascii="Times New Roman" w:hAnsi="Times New Roman" w:cs="宋体"/>
                <w:color w:val="auto"/>
                <w:sz w:val="21"/>
                <w:szCs w:val="21"/>
              </w:rPr>
            </w:pPr>
          </w:p>
        </w:tc>
        <w:tc>
          <w:tcPr>
            <w:tcW w:w="8016" w:type="dxa"/>
            <w:tcBorders>
              <w:top w:val="single" w:color="auto" w:sz="4" w:space="0"/>
              <w:left w:val="single" w:color="auto" w:sz="4" w:space="0"/>
              <w:bottom w:val="single" w:color="auto" w:sz="8" w:space="0"/>
              <w:right w:val="single" w:color="auto" w:sz="8" w:space="0"/>
            </w:tcBorders>
            <w:vAlign w:val="center"/>
          </w:tcPr>
          <w:p w14:paraId="77678912">
            <w:pPr>
              <w:keepNext w:val="0"/>
              <w:keepLines w:val="0"/>
              <w:suppressLineNumbers w:val="0"/>
              <w:autoSpaceDE w:val="0"/>
              <w:autoSpaceDN w:val="0"/>
              <w:adjustRightInd w:val="0"/>
              <w:snapToGrid w:val="0"/>
              <w:spacing w:before="0" w:beforeAutospacing="0" w:after="0" w:afterAutospacing="0" w:line="380" w:lineRule="exact"/>
              <w:ind w:left="0" w:right="0" w:firstLine="420" w:firstLineChars="200"/>
              <w:jc w:val="left"/>
              <w:rPr>
                <w:rFonts w:hint="eastAsia"/>
                <w:b w:val="0"/>
                <w:bCs w:val="0"/>
                <w:color w:val="auto"/>
                <w:szCs w:val="21"/>
                <w:lang w:val="zh-CN"/>
              </w:rPr>
            </w:pPr>
          </w:p>
          <w:p w14:paraId="20A2FBC5">
            <w:pPr>
              <w:keepNext w:val="0"/>
              <w:keepLines w:val="0"/>
              <w:suppressLineNumbers w:val="0"/>
              <w:autoSpaceDE w:val="0"/>
              <w:autoSpaceDN w:val="0"/>
              <w:adjustRightInd w:val="0"/>
              <w:snapToGrid w:val="0"/>
              <w:spacing w:before="0" w:beforeAutospacing="0" w:after="0" w:afterAutospacing="0" w:line="380" w:lineRule="exact"/>
              <w:ind w:left="0" w:right="0" w:firstLine="420" w:firstLineChars="200"/>
              <w:jc w:val="left"/>
              <w:rPr>
                <w:rFonts w:hint="eastAsia"/>
                <w:b w:val="0"/>
                <w:bCs w:val="0"/>
                <w:color w:val="auto"/>
                <w:szCs w:val="21"/>
                <w:lang w:val="en-US" w:eastAsia="zh-CN"/>
              </w:rPr>
            </w:pPr>
            <w:r>
              <w:rPr>
                <w:rFonts w:hint="eastAsia"/>
                <w:b w:val="0"/>
                <w:bCs w:val="0"/>
                <w:color w:val="auto"/>
                <w:szCs w:val="21"/>
                <w:lang w:val="zh-CN"/>
              </w:rPr>
              <w:t>本项目为新建项目，就本项目而言不存在与项目有关的原有环境污染问题。</w:t>
            </w:r>
            <w:r>
              <w:rPr>
                <w:rFonts w:hint="eastAsia"/>
                <w:b w:val="0"/>
                <w:bCs w:val="0"/>
                <w:color w:val="auto"/>
                <w:szCs w:val="21"/>
                <w:lang w:val="en-US" w:eastAsia="zh-CN"/>
              </w:rPr>
              <w:t>由于项目存在未批先建。目前已完成大部分设备的安装，污水处理站已完成土建施工和一体化设备的安装，正在调试。</w:t>
            </w:r>
          </w:p>
          <w:p w14:paraId="27EBCBCA">
            <w:pPr>
              <w:keepNext w:val="0"/>
              <w:keepLines w:val="0"/>
              <w:suppressLineNumbers w:val="0"/>
              <w:autoSpaceDE w:val="0"/>
              <w:autoSpaceDN w:val="0"/>
              <w:adjustRightInd w:val="0"/>
              <w:snapToGrid w:val="0"/>
              <w:spacing w:before="0" w:beforeAutospacing="0" w:after="0" w:afterAutospacing="0" w:line="380" w:lineRule="exact"/>
              <w:ind w:left="0" w:right="0" w:firstLine="420" w:firstLineChars="200"/>
              <w:jc w:val="left"/>
              <w:rPr>
                <w:rFonts w:hint="default"/>
                <w:b w:val="0"/>
                <w:bCs w:val="0"/>
                <w:color w:val="auto"/>
                <w:szCs w:val="21"/>
                <w:lang w:val="en-US" w:eastAsia="zh-CN"/>
              </w:rPr>
            </w:pPr>
            <w:r>
              <w:rPr>
                <w:rFonts w:hint="eastAsia"/>
                <w:b w:val="0"/>
                <w:bCs w:val="0"/>
                <w:color w:val="auto"/>
                <w:szCs w:val="21"/>
                <w:lang w:val="en-US" w:eastAsia="zh-CN"/>
              </w:rPr>
              <w:t>根据环评调查，项目施工期已采取了相应的环保措施，施工现场未见遗留的施工期环境问题。</w:t>
            </w:r>
          </w:p>
          <w:p w14:paraId="3678BDDB">
            <w:pPr>
              <w:keepNext w:val="0"/>
              <w:keepLines w:val="0"/>
              <w:suppressLineNumbers w:val="0"/>
              <w:autoSpaceDE w:val="0"/>
              <w:autoSpaceDN w:val="0"/>
              <w:adjustRightInd w:val="0"/>
              <w:snapToGrid w:val="0"/>
              <w:spacing w:before="0" w:beforeAutospacing="0" w:after="0" w:afterAutospacing="0" w:line="380" w:lineRule="exact"/>
              <w:ind w:left="0" w:right="0" w:firstLine="420" w:firstLineChars="200"/>
              <w:jc w:val="left"/>
              <w:rPr>
                <w:rFonts w:hint="default"/>
                <w:bCs/>
                <w:color w:val="auto"/>
                <w:szCs w:val="21"/>
                <w:lang w:val="zh-CN"/>
              </w:rPr>
            </w:pPr>
          </w:p>
          <w:p w14:paraId="33B63CB4">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bCs/>
                <w:color w:val="auto"/>
                <w:szCs w:val="21"/>
                <w:lang w:val="zh-CN"/>
              </w:rPr>
            </w:pPr>
          </w:p>
          <w:p w14:paraId="3569291A">
            <w:pPr>
              <w:keepNext w:val="0"/>
              <w:keepLines w:val="0"/>
              <w:suppressLineNumbers w:val="0"/>
              <w:autoSpaceDE w:val="0"/>
              <w:autoSpaceDN w:val="0"/>
              <w:adjustRightInd w:val="0"/>
              <w:snapToGrid w:val="0"/>
              <w:spacing w:before="0" w:beforeAutospacing="0" w:after="0" w:afterAutospacing="0" w:line="400" w:lineRule="exact"/>
              <w:ind w:left="0" w:right="0" w:firstLine="480" w:firstLineChars="200"/>
              <w:jc w:val="left"/>
              <w:rPr>
                <w:rFonts w:hint="default"/>
                <w:bCs/>
                <w:color w:val="auto"/>
                <w:sz w:val="24"/>
                <w:lang w:val="zh-CN"/>
              </w:rPr>
            </w:pPr>
          </w:p>
          <w:p w14:paraId="41397098">
            <w:pPr>
              <w:keepNext w:val="0"/>
              <w:keepLines w:val="0"/>
              <w:suppressLineNumbers w:val="0"/>
              <w:autoSpaceDE w:val="0"/>
              <w:autoSpaceDN w:val="0"/>
              <w:adjustRightInd w:val="0"/>
              <w:snapToGrid w:val="0"/>
              <w:spacing w:before="0" w:beforeAutospacing="0" w:after="0" w:afterAutospacing="0" w:line="400" w:lineRule="exact"/>
              <w:ind w:left="0" w:right="0" w:firstLine="480" w:firstLineChars="200"/>
              <w:jc w:val="left"/>
              <w:rPr>
                <w:rFonts w:hint="default"/>
                <w:bCs/>
                <w:color w:val="auto"/>
                <w:sz w:val="24"/>
                <w:lang w:val="zh-CN"/>
              </w:rPr>
            </w:pPr>
          </w:p>
          <w:p w14:paraId="02D3B262">
            <w:pPr>
              <w:keepNext w:val="0"/>
              <w:keepLines w:val="0"/>
              <w:suppressLineNumbers w:val="0"/>
              <w:autoSpaceDE w:val="0"/>
              <w:autoSpaceDN w:val="0"/>
              <w:adjustRightInd w:val="0"/>
              <w:snapToGrid w:val="0"/>
              <w:spacing w:before="0" w:beforeAutospacing="0" w:after="0" w:afterAutospacing="0" w:line="400" w:lineRule="exact"/>
              <w:ind w:left="0" w:right="0" w:firstLine="480" w:firstLineChars="200"/>
              <w:jc w:val="left"/>
              <w:rPr>
                <w:rFonts w:hint="default"/>
                <w:bCs/>
                <w:color w:val="auto"/>
                <w:sz w:val="24"/>
                <w:lang w:val="zh-CN"/>
              </w:rPr>
            </w:pPr>
          </w:p>
          <w:p w14:paraId="4F945D72">
            <w:pPr>
              <w:keepNext w:val="0"/>
              <w:keepLines w:val="0"/>
              <w:suppressLineNumbers w:val="0"/>
              <w:autoSpaceDE w:val="0"/>
              <w:autoSpaceDN w:val="0"/>
              <w:adjustRightInd w:val="0"/>
              <w:snapToGrid w:val="0"/>
              <w:spacing w:before="0" w:beforeAutospacing="0" w:after="0" w:afterAutospacing="0" w:line="400" w:lineRule="exact"/>
              <w:ind w:left="0" w:right="0" w:firstLine="480" w:firstLineChars="200"/>
              <w:jc w:val="left"/>
              <w:rPr>
                <w:rFonts w:hint="default"/>
                <w:bCs/>
                <w:color w:val="auto"/>
                <w:sz w:val="24"/>
                <w:lang w:val="zh-CN"/>
              </w:rPr>
            </w:pPr>
          </w:p>
          <w:p w14:paraId="1CB18248">
            <w:pPr>
              <w:keepNext w:val="0"/>
              <w:keepLines w:val="0"/>
              <w:suppressLineNumbers w:val="0"/>
              <w:autoSpaceDE w:val="0"/>
              <w:autoSpaceDN w:val="0"/>
              <w:adjustRightInd w:val="0"/>
              <w:snapToGrid w:val="0"/>
              <w:spacing w:before="0" w:beforeAutospacing="0" w:after="0" w:afterAutospacing="0" w:line="400" w:lineRule="exact"/>
              <w:ind w:left="0" w:right="0" w:firstLine="480" w:firstLineChars="200"/>
              <w:jc w:val="left"/>
              <w:rPr>
                <w:rFonts w:hint="default"/>
                <w:bCs/>
                <w:color w:val="auto"/>
                <w:sz w:val="24"/>
                <w:lang w:val="zh-CN"/>
              </w:rPr>
            </w:pPr>
          </w:p>
          <w:p w14:paraId="26E67607">
            <w:pPr>
              <w:keepNext w:val="0"/>
              <w:keepLines w:val="0"/>
              <w:suppressLineNumbers w:val="0"/>
              <w:autoSpaceDE w:val="0"/>
              <w:autoSpaceDN w:val="0"/>
              <w:adjustRightInd w:val="0"/>
              <w:snapToGrid w:val="0"/>
              <w:spacing w:before="0" w:beforeAutospacing="0" w:after="0" w:afterAutospacing="0" w:line="400" w:lineRule="exact"/>
              <w:ind w:left="0" w:right="0" w:firstLine="480" w:firstLineChars="200"/>
              <w:jc w:val="left"/>
              <w:rPr>
                <w:rFonts w:hint="default"/>
                <w:bCs/>
                <w:color w:val="auto"/>
                <w:sz w:val="24"/>
                <w:lang w:val="zh-CN"/>
              </w:rPr>
            </w:pPr>
          </w:p>
          <w:p w14:paraId="7FE4B0D3">
            <w:pPr>
              <w:keepNext w:val="0"/>
              <w:keepLines w:val="0"/>
              <w:suppressLineNumbers w:val="0"/>
              <w:autoSpaceDE w:val="0"/>
              <w:autoSpaceDN w:val="0"/>
              <w:adjustRightInd w:val="0"/>
              <w:snapToGrid w:val="0"/>
              <w:spacing w:before="0" w:beforeAutospacing="0" w:after="0" w:afterAutospacing="0" w:line="400" w:lineRule="exact"/>
              <w:ind w:left="0" w:right="0" w:firstLine="480" w:firstLineChars="200"/>
              <w:jc w:val="left"/>
              <w:rPr>
                <w:rFonts w:hint="default"/>
                <w:bCs/>
                <w:color w:val="auto"/>
                <w:sz w:val="24"/>
                <w:lang w:val="zh-CN"/>
              </w:rPr>
            </w:pPr>
          </w:p>
          <w:p w14:paraId="3BD15B28">
            <w:pPr>
              <w:keepNext w:val="0"/>
              <w:keepLines w:val="0"/>
              <w:suppressLineNumbers w:val="0"/>
              <w:autoSpaceDE w:val="0"/>
              <w:autoSpaceDN w:val="0"/>
              <w:adjustRightInd w:val="0"/>
              <w:snapToGrid w:val="0"/>
              <w:spacing w:before="0" w:beforeAutospacing="0" w:after="0" w:afterAutospacing="0" w:line="400" w:lineRule="exact"/>
              <w:ind w:left="0" w:right="0" w:firstLine="480" w:firstLineChars="200"/>
              <w:jc w:val="left"/>
              <w:rPr>
                <w:rFonts w:hint="default"/>
                <w:bCs/>
                <w:color w:val="auto"/>
                <w:sz w:val="24"/>
                <w:lang w:val="zh-CN"/>
              </w:rPr>
            </w:pPr>
          </w:p>
          <w:p w14:paraId="16C967F2">
            <w:pPr>
              <w:pStyle w:val="2"/>
              <w:keepNext w:val="0"/>
              <w:keepLines w:val="0"/>
              <w:suppressLineNumbers w:val="0"/>
              <w:spacing w:before="0" w:beforeAutospacing="0" w:afterAutospacing="0"/>
              <w:ind w:right="0"/>
              <w:rPr>
                <w:rFonts w:hint="default"/>
                <w:color w:val="auto"/>
                <w:sz w:val="24"/>
                <w:szCs w:val="28"/>
                <w:lang w:val="zh-CN"/>
              </w:rPr>
            </w:pPr>
          </w:p>
          <w:p w14:paraId="30CC7499">
            <w:pPr>
              <w:pStyle w:val="2"/>
              <w:keepNext w:val="0"/>
              <w:keepLines w:val="0"/>
              <w:suppressLineNumbers w:val="0"/>
              <w:spacing w:before="0" w:beforeAutospacing="0" w:afterAutospacing="0"/>
              <w:ind w:right="0"/>
              <w:rPr>
                <w:rFonts w:hint="default"/>
                <w:color w:val="auto"/>
                <w:sz w:val="24"/>
                <w:szCs w:val="28"/>
                <w:lang w:val="zh-CN"/>
              </w:rPr>
            </w:pPr>
          </w:p>
          <w:p w14:paraId="078BFAD2">
            <w:pPr>
              <w:pStyle w:val="2"/>
              <w:keepNext w:val="0"/>
              <w:keepLines w:val="0"/>
              <w:suppressLineNumbers w:val="0"/>
              <w:spacing w:before="0" w:beforeAutospacing="0" w:afterAutospacing="0"/>
              <w:ind w:right="0"/>
              <w:rPr>
                <w:rFonts w:hint="default"/>
                <w:color w:val="auto"/>
                <w:sz w:val="24"/>
                <w:szCs w:val="28"/>
                <w:lang w:val="zh-CN"/>
              </w:rPr>
            </w:pPr>
          </w:p>
          <w:p w14:paraId="51E816C5">
            <w:pPr>
              <w:pStyle w:val="2"/>
              <w:keepNext w:val="0"/>
              <w:keepLines w:val="0"/>
              <w:suppressLineNumbers w:val="0"/>
              <w:spacing w:before="0" w:beforeAutospacing="0" w:afterAutospacing="0"/>
              <w:ind w:right="0"/>
              <w:rPr>
                <w:rFonts w:hint="default"/>
                <w:color w:val="auto"/>
                <w:sz w:val="24"/>
                <w:szCs w:val="28"/>
                <w:lang w:val="zh-CN"/>
              </w:rPr>
            </w:pPr>
          </w:p>
          <w:p w14:paraId="19171429">
            <w:pPr>
              <w:pStyle w:val="2"/>
              <w:keepNext w:val="0"/>
              <w:keepLines w:val="0"/>
              <w:suppressLineNumbers w:val="0"/>
              <w:spacing w:before="0" w:beforeAutospacing="0" w:afterAutospacing="0"/>
              <w:ind w:right="0"/>
              <w:rPr>
                <w:rFonts w:hint="default"/>
                <w:color w:val="auto"/>
                <w:sz w:val="24"/>
                <w:szCs w:val="28"/>
                <w:lang w:val="zh-CN"/>
              </w:rPr>
            </w:pPr>
          </w:p>
          <w:p w14:paraId="32458FA6">
            <w:pPr>
              <w:pStyle w:val="2"/>
              <w:keepNext w:val="0"/>
              <w:keepLines w:val="0"/>
              <w:suppressLineNumbers w:val="0"/>
              <w:spacing w:before="0" w:beforeAutospacing="0" w:after="0" w:afterAutospacing="0" w:line="100" w:lineRule="exact"/>
              <w:ind w:right="0"/>
              <w:rPr>
                <w:rFonts w:hint="default"/>
                <w:color w:val="auto"/>
                <w:sz w:val="24"/>
                <w:szCs w:val="28"/>
                <w:lang w:val="zh-CN"/>
              </w:rPr>
            </w:pPr>
          </w:p>
          <w:p w14:paraId="41620311">
            <w:pPr>
              <w:pStyle w:val="2"/>
              <w:keepNext w:val="0"/>
              <w:keepLines w:val="0"/>
              <w:suppressLineNumbers w:val="0"/>
              <w:spacing w:before="0" w:beforeAutospacing="0" w:after="0" w:afterAutospacing="0" w:line="100" w:lineRule="exact"/>
              <w:ind w:right="0"/>
              <w:rPr>
                <w:rFonts w:hint="default"/>
                <w:color w:val="auto"/>
                <w:sz w:val="24"/>
                <w:szCs w:val="28"/>
                <w:lang w:val="zh-CN"/>
              </w:rPr>
            </w:pPr>
          </w:p>
        </w:tc>
      </w:tr>
    </w:tbl>
    <w:p w14:paraId="481CAF95">
      <w:pPr>
        <w:widowControl/>
        <w:jc w:val="left"/>
        <w:rPr>
          <w:rFonts w:eastAsia="黑体"/>
          <w:snapToGrid w:val="0"/>
          <w:color w:val="auto"/>
          <w:kern w:val="0"/>
          <w:sz w:val="36"/>
          <w:szCs w:val="36"/>
        </w:rPr>
        <w:sectPr>
          <w:pgSz w:w="11906" w:h="16838"/>
          <w:pgMar w:top="1701" w:right="1531" w:bottom="1701" w:left="1531" w:header="851" w:footer="851" w:gutter="0"/>
          <w:pgNumType w:fmt="numberInDash"/>
          <w:cols w:space="720" w:num="1"/>
        </w:sectPr>
      </w:pPr>
    </w:p>
    <w:p w14:paraId="788D3CCD">
      <w:pPr>
        <w:pStyle w:val="12"/>
        <w:jc w:val="center"/>
        <w:outlineLvl w:val="0"/>
        <w:rPr>
          <w:rFonts w:ascii="Times New Roman" w:hAnsi="Times New Roman" w:eastAsia="黑体"/>
          <w:snapToGrid w:val="0"/>
          <w:color w:val="auto"/>
          <w:sz w:val="30"/>
          <w:szCs w:val="30"/>
        </w:rPr>
      </w:pPr>
      <w:r>
        <w:rPr>
          <w:rFonts w:hint="eastAsia" w:ascii="Times New Roman" w:hAnsi="Times New Roman" w:eastAsia="黑体"/>
          <w:snapToGrid w:val="0"/>
          <w:color w:val="auto"/>
          <w:sz w:val="30"/>
          <w:szCs w:val="30"/>
        </w:rPr>
        <w:t>三、区域环境质量现状、环境保护目标及评价标准</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9"/>
        <w:gridCol w:w="8115"/>
      </w:tblGrid>
      <w:tr w14:paraId="0BF8EC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5" w:hRule="atLeast"/>
          <w:jc w:val="center"/>
        </w:trPr>
        <w:tc>
          <w:tcPr>
            <w:tcW w:w="799" w:type="dxa"/>
            <w:tcBorders>
              <w:top w:val="single" w:color="auto" w:sz="8" w:space="0"/>
              <w:left w:val="single" w:color="auto" w:sz="8" w:space="0"/>
              <w:bottom w:val="single" w:color="auto" w:sz="4" w:space="0"/>
              <w:right w:val="single" w:color="auto" w:sz="4" w:space="0"/>
            </w:tcBorders>
            <w:vAlign w:val="center"/>
          </w:tcPr>
          <w:p w14:paraId="21DEECAB">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区域</w:t>
            </w:r>
          </w:p>
          <w:p w14:paraId="04D6B139">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环境</w:t>
            </w:r>
          </w:p>
          <w:p w14:paraId="3B0F80F5">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质量</w:t>
            </w:r>
          </w:p>
          <w:p w14:paraId="2525528A">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现状</w:t>
            </w:r>
          </w:p>
        </w:tc>
        <w:tc>
          <w:tcPr>
            <w:tcW w:w="8115" w:type="dxa"/>
            <w:tcBorders>
              <w:top w:val="single" w:color="auto" w:sz="8" w:space="0"/>
              <w:left w:val="single" w:color="auto" w:sz="4" w:space="0"/>
              <w:bottom w:val="single" w:color="auto" w:sz="4" w:space="0"/>
              <w:right w:val="single" w:color="auto" w:sz="8" w:space="0"/>
            </w:tcBorders>
            <w:vAlign w:val="center"/>
          </w:tcPr>
          <w:p w14:paraId="58B595DF">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rPr>
            </w:pPr>
            <w:r>
              <w:rPr>
                <w:rFonts w:hint="eastAsia" w:eastAsia="黑体" w:cs="宋体"/>
                <w:color w:val="auto"/>
                <w:kern w:val="0"/>
              </w:rPr>
              <w:t>1</w:t>
            </w:r>
            <w:r>
              <w:rPr>
                <w:rFonts w:hint="default" w:eastAsia="黑体" w:cs="宋体"/>
                <w:color w:val="auto"/>
                <w:kern w:val="0"/>
              </w:rPr>
              <w:t>、</w:t>
            </w:r>
            <w:r>
              <w:rPr>
                <w:rFonts w:hint="eastAsia" w:eastAsia="黑体" w:cs="宋体"/>
                <w:color w:val="auto"/>
                <w:kern w:val="0"/>
              </w:rPr>
              <w:t>大气环境质量现状及评价</w:t>
            </w:r>
          </w:p>
          <w:p w14:paraId="5DA8FF61">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lang w:val="en-US" w:eastAsia="zh-CN"/>
              </w:rPr>
            </w:pPr>
            <w:r>
              <w:rPr>
                <w:rFonts w:hint="eastAsia" w:cs="宋体"/>
                <w:color w:val="auto"/>
                <w:kern w:val="0"/>
                <w:szCs w:val="21"/>
                <w:lang w:eastAsia="zh-CN"/>
              </w:rPr>
              <w:t>（</w:t>
            </w:r>
            <w:r>
              <w:rPr>
                <w:rFonts w:hint="eastAsia" w:cs="宋体"/>
                <w:color w:val="auto"/>
                <w:kern w:val="0"/>
                <w:szCs w:val="21"/>
                <w:lang w:val="en-US" w:eastAsia="zh-CN"/>
              </w:rPr>
              <w:t>1</w:t>
            </w:r>
            <w:r>
              <w:rPr>
                <w:rFonts w:hint="eastAsia" w:cs="宋体"/>
                <w:color w:val="auto"/>
                <w:kern w:val="0"/>
                <w:szCs w:val="21"/>
                <w:lang w:eastAsia="zh-CN"/>
              </w:rPr>
              <w:t>）</w:t>
            </w:r>
            <w:r>
              <w:rPr>
                <w:rFonts w:hint="eastAsia" w:cs="宋体"/>
                <w:color w:val="auto"/>
                <w:kern w:val="0"/>
                <w:szCs w:val="21"/>
                <w:lang w:val="en-US" w:eastAsia="zh-CN"/>
              </w:rPr>
              <w:t>达标区判定</w:t>
            </w:r>
          </w:p>
          <w:p w14:paraId="1A830D5C">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default" w:cs="宋体"/>
                <w:color w:val="auto"/>
                <w:kern w:val="0"/>
                <w:szCs w:val="21"/>
              </w:rPr>
              <w:t>根据达州市生态环境局官方网站20</w:t>
            </w:r>
            <w:r>
              <w:rPr>
                <w:rFonts w:hint="eastAsia" w:cs="宋体"/>
                <w:color w:val="auto"/>
                <w:kern w:val="0"/>
                <w:szCs w:val="21"/>
              </w:rPr>
              <w:t>21</w:t>
            </w:r>
            <w:r>
              <w:rPr>
                <w:rFonts w:hint="default" w:cs="宋体"/>
                <w:color w:val="auto"/>
                <w:kern w:val="0"/>
                <w:szCs w:val="21"/>
              </w:rPr>
              <w:t>年</w:t>
            </w:r>
            <w:r>
              <w:rPr>
                <w:rFonts w:hint="eastAsia" w:cs="宋体"/>
                <w:color w:val="auto"/>
                <w:kern w:val="0"/>
                <w:szCs w:val="21"/>
              </w:rPr>
              <w:t>6</w:t>
            </w:r>
            <w:r>
              <w:rPr>
                <w:rFonts w:hint="default" w:cs="宋体"/>
                <w:color w:val="auto"/>
                <w:kern w:val="0"/>
                <w:szCs w:val="21"/>
              </w:rPr>
              <w:t>月</w:t>
            </w:r>
            <w:r>
              <w:rPr>
                <w:rFonts w:hint="eastAsia" w:cs="宋体"/>
                <w:color w:val="auto"/>
                <w:kern w:val="0"/>
                <w:szCs w:val="21"/>
              </w:rPr>
              <w:t>5</w:t>
            </w:r>
            <w:r>
              <w:rPr>
                <w:rFonts w:hint="default" w:cs="宋体"/>
                <w:color w:val="auto"/>
                <w:kern w:val="0"/>
                <w:szCs w:val="21"/>
              </w:rPr>
              <w:t>日发布的《20</w:t>
            </w:r>
            <w:r>
              <w:rPr>
                <w:rFonts w:hint="eastAsia" w:cs="宋体"/>
                <w:color w:val="auto"/>
                <w:kern w:val="0"/>
                <w:szCs w:val="21"/>
              </w:rPr>
              <w:t>20</w:t>
            </w:r>
            <w:r>
              <w:rPr>
                <w:rFonts w:hint="default" w:cs="宋体"/>
                <w:color w:val="auto"/>
                <w:kern w:val="0"/>
                <w:szCs w:val="21"/>
              </w:rPr>
              <w:t>年达州市环境状况公报》，</w:t>
            </w:r>
            <w:r>
              <w:rPr>
                <w:rFonts w:hint="eastAsia" w:cs="宋体"/>
                <w:color w:val="auto"/>
                <w:kern w:val="0"/>
                <w:szCs w:val="21"/>
              </w:rPr>
              <w:t>2020年全市空气质量日均值达标率为93.3%，较上年提高2.0个百分点。市城区及各县（市）空气质量达标率为89.3%~97.5%，其中，宣汉县94.3%，万源市97.5%，开江县95.1%，渠县93.4%，大竹县90.2%，市城区89.3%。全市环境空气中主要污染物PM</w:t>
            </w:r>
            <w:r>
              <w:rPr>
                <w:rFonts w:hint="eastAsia" w:cs="宋体"/>
                <w:color w:val="auto"/>
                <w:kern w:val="0"/>
                <w:szCs w:val="21"/>
                <w:vertAlign w:val="subscript"/>
              </w:rPr>
              <w:t>10</w:t>
            </w:r>
            <w:r>
              <w:rPr>
                <w:rFonts w:hint="eastAsia" w:cs="宋体"/>
                <w:color w:val="auto"/>
                <w:kern w:val="0"/>
                <w:szCs w:val="21"/>
              </w:rPr>
              <w:t>、PM</w:t>
            </w:r>
            <w:r>
              <w:rPr>
                <w:rFonts w:hint="eastAsia" w:cs="宋体"/>
                <w:color w:val="auto"/>
                <w:kern w:val="0"/>
                <w:szCs w:val="21"/>
                <w:vertAlign w:val="subscript"/>
              </w:rPr>
              <w:t>2.5</w:t>
            </w:r>
            <w:r>
              <w:rPr>
                <w:rFonts w:hint="eastAsia" w:cs="宋体"/>
                <w:color w:val="auto"/>
                <w:kern w:val="0"/>
                <w:szCs w:val="21"/>
              </w:rPr>
              <w:t>和O</w:t>
            </w:r>
            <w:r>
              <w:rPr>
                <w:rFonts w:hint="eastAsia" w:cs="宋体"/>
                <w:color w:val="auto"/>
                <w:kern w:val="0"/>
                <w:szCs w:val="21"/>
                <w:vertAlign w:val="subscript"/>
              </w:rPr>
              <w:t>3</w:t>
            </w:r>
            <w:r>
              <w:rPr>
                <w:rFonts w:hint="eastAsia" w:cs="宋体"/>
                <w:color w:val="auto"/>
                <w:kern w:val="0"/>
                <w:szCs w:val="21"/>
              </w:rPr>
              <w:t>。市城区SO</w:t>
            </w:r>
            <w:r>
              <w:rPr>
                <w:rFonts w:hint="eastAsia" w:cs="宋体"/>
                <w:color w:val="auto"/>
                <w:kern w:val="0"/>
                <w:szCs w:val="21"/>
                <w:vertAlign w:val="subscript"/>
              </w:rPr>
              <w:t>2</w:t>
            </w:r>
            <w:r>
              <w:rPr>
                <w:rFonts w:hint="eastAsia" w:cs="宋体"/>
                <w:color w:val="auto"/>
                <w:kern w:val="0"/>
                <w:szCs w:val="21"/>
              </w:rPr>
              <w:t>、 NO</w:t>
            </w:r>
            <w:r>
              <w:rPr>
                <w:rFonts w:hint="eastAsia" w:cs="宋体"/>
                <w:color w:val="auto"/>
                <w:kern w:val="0"/>
                <w:szCs w:val="21"/>
                <w:vertAlign w:val="subscript"/>
              </w:rPr>
              <w:t>2</w:t>
            </w:r>
            <w:r>
              <w:rPr>
                <w:rFonts w:hint="eastAsia" w:cs="宋体"/>
                <w:color w:val="auto"/>
                <w:kern w:val="0"/>
                <w:szCs w:val="21"/>
              </w:rPr>
              <w:t>、PM</w:t>
            </w:r>
            <w:r>
              <w:rPr>
                <w:rFonts w:hint="eastAsia" w:cs="宋体"/>
                <w:color w:val="auto"/>
                <w:kern w:val="0"/>
                <w:szCs w:val="21"/>
                <w:vertAlign w:val="subscript"/>
              </w:rPr>
              <w:t>10</w:t>
            </w:r>
            <w:r>
              <w:rPr>
                <w:rFonts w:hint="eastAsia" w:cs="宋体"/>
                <w:color w:val="auto"/>
                <w:kern w:val="0"/>
                <w:szCs w:val="21"/>
              </w:rPr>
              <w:t>、CO和O</w:t>
            </w:r>
            <w:r>
              <w:rPr>
                <w:rFonts w:hint="eastAsia" w:cs="宋体"/>
                <w:color w:val="auto"/>
                <w:kern w:val="0"/>
                <w:szCs w:val="21"/>
                <w:vertAlign w:val="subscript"/>
              </w:rPr>
              <w:t>3</w:t>
            </w:r>
            <w:r>
              <w:rPr>
                <w:rFonts w:hint="eastAsia" w:cs="宋体"/>
                <w:color w:val="auto"/>
                <w:kern w:val="0"/>
                <w:szCs w:val="21"/>
              </w:rPr>
              <w:t>年评价结果达标，PM</w:t>
            </w:r>
            <w:r>
              <w:rPr>
                <w:rFonts w:hint="eastAsia" w:cs="宋体"/>
                <w:color w:val="auto"/>
                <w:kern w:val="0"/>
                <w:szCs w:val="21"/>
                <w:vertAlign w:val="subscript"/>
              </w:rPr>
              <w:t>2.5</w:t>
            </w:r>
            <w:r>
              <w:rPr>
                <w:rFonts w:hint="eastAsia" w:cs="宋体"/>
                <w:color w:val="auto"/>
                <w:kern w:val="0"/>
                <w:szCs w:val="21"/>
              </w:rPr>
              <w:t>年评价结果超标，超标倍数为0.11倍；各县（市）SO</w:t>
            </w:r>
            <w:r>
              <w:rPr>
                <w:rFonts w:hint="eastAsia" w:cs="宋体"/>
                <w:color w:val="auto"/>
                <w:kern w:val="0"/>
                <w:szCs w:val="21"/>
                <w:vertAlign w:val="subscript"/>
              </w:rPr>
              <w:t>2</w:t>
            </w:r>
            <w:r>
              <w:rPr>
                <w:rFonts w:hint="eastAsia" w:cs="宋体"/>
                <w:color w:val="auto"/>
                <w:kern w:val="0"/>
                <w:szCs w:val="21"/>
              </w:rPr>
              <w:t>、NO</w:t>
            </w:r>
            <w:r>
              <w:rPr>
                <w:rFonts w:hint="eastAsia" w:cs="宋体"/>
                <w:color w:val="auto"/>
                <w:kern w:val="0"/>
                <w:szCs w:val="21"/>
                <w:vertAlign w:val="subscript"/>
              </w:rPr>
              <w:t>2</w:t>
            </w:r>
            <w:r>
              <w:rPr>
                <w:rFonts w:hint="eastAsia" w:cs="宋体"/>
                <w:color w:val="auto"/>
                <w:kern w:val="0"/>
                <w:szCs w:val="21"/>
              </w:rPr>
              <w:t>、PM</w:t>
            </w:r>
            <w:r>
              <w:rPr>
                <w:rFonts w:hint="eastAsia" w:cs="宋体"/>
                <w:color w:val="auto"/>
                <w:kern w:val="0"/>
                <w:szCs w:val="21"/>
                <w:vertAlign w:val="subscript"/>
              </w:rPr>
              <w:t>10</w:t>
            </w:r>
            <w:r>
              <w:rPr>
                <w:rFonts w:hint="eastAsia" w:cs="宋体"/>
                <w:color w:val="auto"/>
                <w:kern w:val="0"/>
                <w:szCs w:val="21"/>
              </w:rPr>
              <w:t>、CO、O</w:t>
            </w:r>
            <w:r>
              <w:rPr>
                <w:rFonts w:hint="eastAsia" w:cs="宋体"/>
                <w:color w:val="auto"/>
                <w:kern w:val="0"/>
                <w:szCs w:val="21"/>
                <w:vertAlign w:val="subscript"/>
              </w:rPr>
              <w:t>3</w:t>
            </w:r>
            <w:r>
              <w:rPr>
                <w:rFonts w:hint="eastAsia" w:cs="宋体"/>
                <w:color w:val="auto"/>
                <w:kern w:val="0"/>
                <w:szCs w:val="21"/>
              </w:rPr>
              <w:t>和PM</w:t>
            </w:r>
            <w:r>
              <w:rPr>
                <w:rFonts w:hint="eastAsia" w:cs="宋体"/>
                <w:color w:val="auto"/>
                <w:kern w:val="0"/>
                <w:szCs w:val="21"/>
                <w:vertAlign w:val="subscript"/>
              </w:rPr>
              <w:t>2.5</w:t>
            </w:r>
            <w:r>
              <w:rPr>
                <w:rFonts w:hint="eastAsia" w:cs="宋体"/>
                <w:color w:val="auto"/>
                <w:kern w:val="0"/>
                <w:szCs w:val="21"/>
              </w:rPr>
              <w:t>年评价结果均达标。</w:t>
            </w:r>
          </w:p>
          <w:p w14:paraId="46889EC7">
            <w:pPr>
              <w:keepNext w:val="0"/>
              <w:keepLines w:val="0"/>
              <w:suppressLineNumbers w:val="0"/>
              <w:autoSpaceDE w:val="0"/>
              <w:autoSpaceDN w:val="0"/>
              <w:adjustRightInd w:val="0"/>
              <w:spacing w:before="0" w:beforeAutospacing="0" w:after="0" w:afterAutospacing="0" w:line="400" w:lineRule="exact"/>
              <w:ind w:left="0" w:right="0" w:firstLine="420" w:firstLineChars="200"/>
              <w:jc w:val="left"/>
              <w:rPr>
                <w:rFonts w:hint="default" w:cs="宋体"/>
                <w:color w:val="auto"/>
                <w:kern w:val="0"/>
                <w:szCs w:val="21"/>
              </w:rPr>
            </w:pPr>
            <w:r>
              <w:rPr>
                <w:rFonts w:hint="default" w:cs="宋体"/>
                <w:color w:val="auto"/>
                <w:kern w:val="0"/>
                <w:szCs w:val="21"/>
              </w:rPr>
              <w:t>本项目</w:t>
            </w:r>
            <w:r>
              <w:rPr>
                <w:rFonts w:hint="eastAsia" w:cs="宋体"/>
                <w:color w:val="auto"/>
                <w:kern w:val="0"/>
                <w:szCs w:val="21"/>
                <w:lang w:val="en-US" w:eastAsia="zh-CN"/>
              </w:rPr>
              <w:t>位于达州市通川区罗江镇，</w:t>
            </w:r>
            <w:r>
              <w:rPr>
                <w:rFonts w:hint="default" w:cs="宋体"/>
                <w:color w:val="auto"/>
                <w:kern w:val="0"/>
                <w:szCs w:val="21"/>
              </w:rPr>
              <w:t>所在区域为环境空气质量不达标区。</w:t>
            </w:r>
          </w:p>
          <w:p w14:paraId="60B5FAA3">
            <w:pPr>
              <w:keepNext w:val="0"/>
              <w:keepLines w:val="0"/>
              <w:suppressLineNumbers w:val="0"/>
              <w:autoSpaceDE w:val="0"/>
              <w:autoSpaceDN w:val="0"/>
              <w:adjustRightInd w:val="0"/>
              <w:spacing w:before="0" w:beforeAutospacing="0" w:after="0" w:afterAutospacing="0" w:line="400" w:lineRule="exact"/>
              <w:ind w:left="0" w:right="0" w:firstLine="420" w:firstLineChars="200"/>
              <w:jc w:val="left"/>
              <w:rPr>
                <w:rFonts w:hint="default" w:eastAsia="宋体" w:cs="宋体"/>
                <w:color w:val="auto"/>
                <w:kern w:val="0"/>
                <w:szCs w:val="21"/>
                <w:lang w:val="en-US" w:eastAsia="zh-CN"/>
              </w:rPr>
            </w:pPr>
            <w:r>
              <w:rPr>
                <w:rFonts w:hint="eastAsia" w:cs="宋体"/>
                <w:color w:val="auto"/>
                <w:kern w:val="0"/>
                <w:szCs w:val="21"/>
                <w:lang w:eastAsia="zh-CN"/>
              </w:rPr>
              <w:t>（</w:t>
            </w:r>
            <w:r>
              <w:rPr>
                <w:rFonts w:hint="eastAsia" w:cs="宋体"/>
                <w:color w:val="auto"/>
                <w:kern w:val="0"/>
                <w:szCs w:val="21"/>
                <w:lang w:val="en-US" w:eastAsia="zh-CN"/>
              </w:rPr>
              <w:t>2</w:t>
            </w:r>
            <w:r>
              <w:rPr>
                <w:rFonts w:hint="eastAsia" w:cs="宋体"/>
                <w:color w:val="auto"/>
                <w:kern w:val="0"/>
                <w:szCs w:val="21"/>
                <w:lang w:eastAsia="zh-CN"/>
              </w:rPr>
              <w:t>）</w:t>
            </w:r>
            <w:r>
              <w:rPr>
                <w:rFonts w:hint="eastAsia" w:cs="宋体"/>
                <w:color w:val="auto"/>
                <w:kern w:val="0"/>
                <w:szCs w:val="21"/>
                <w:lang w:val="en-US" w:eastAsia="zh-CN"/>
              </w:rPr>
              <w:t>补充监测</w:t>
            </w:r>
          </w:p>
          <w:p w14:paraId="48637D25">
            <w:pPr>
              <w:keepNext w:val="0"/>
              <w:keepLines w:val="0"/>
              <w:suppressLineNumbers w:val="0"/>
              <w:autoSpaceDE w:val="0"/>
              <w:autoSpaceDN w:val="0"/>
              <w:adjustRightInd w:val="0"/>
              <w:spacing w:before="0" w:beforeAutospacing="0" w:after="0" w:afterAutospacing="0" w:line="400" w:lineRule="exact"/>
              <w:ind w:left="0" w:right="0" w:firstLine="420" w:firstLineChars="200"/>
              <w:jc w:val="left"/>
              <w:rPr>
                <w:rFonts w:hint="default" w:ascii="Times New Roman" w:hAnsi="Times New Roman" w:cs="宋体"/>
                <w:color w:val="auto"/>
                <w:kern w:val="0"/>
                <w:szCs w:val="21"/>
                <w:lang w:val="en-US" w:eastAsia="zh-CN"/>
              </w:rPr>
            </w:pPr>
            <w:r>
              <w:rPr>
                <w:rFonts w:hint="eastAsia" w:ascii="Times New Roman" w:hAnsi="Times New Roman" w:cs="宋体"/>
                <w:color w:val="auto"/>
                <w:kern w:val="0"/>
                <w:szCs w:val="21"/>
                <w:lang w:val="en-US" w:eastAsia="zh-CN"/>
              </w:rPr>
              <w:t>建设单位委托四川融华环境检测公司于2022年12月30日~2023年1月1日，在项目区下风向住户处设有一个环境空气监测点位，监测指标：氨、硫化氢、臭气浓度。监测频次：连续监测3天，每天采样4次，测小时值。</w:t>
            </w:r>
          </w:p>
          <w:p w14:paraId="21F13CEF">
            <w:pPr>
              <w:keepNext w:val="0"/>
              <w:keepLines w:val="0"/>
              <w:widowControl w:val="0"/>
              <w:suppressLineNumbers w:val="0"/>
              <w:autoSpaceDE w:val="0"/>
              <w:autoSpaceDN w:val="0"/>
              <w:adjustRightInd w:val="0"/>
              <w:snapToGrid w:val="0"/>
              <w:spacing w:before="0" w:beforeAutospacing="0" w:after="0" w:afterAutospacing="0" w:line="400" w:lineRule="exact"/>
              <w:ind w:left="0" w:right="0" w:firstLine="360" w:firstLineChars="200"/>
              <w:jc w:val="center"/>
              <w:rPr>
                <w:rFonts w:hint="default"/>
                <w:bCs/>
                <w:color w:val="auto"/>
                <w:szCs w:val="21"/>
                <w:highlight w:val="none"/>
                <w:vertAlign w:val="superscript"/>
                <w:lang w:val="en-US" w:eastAsia="zh-CN"/>
              </w:rPr>
            </w:pPr>
            <w:r>
              <w:rPr>
                <w:rFonts w:hint="eastAsia" w:ascii="黑体" w:hAnsi="宋体" w:eastAsia="黑体" w:cs="黑体"/>
                <w:bCs/>
                <w:color w:val="auto"/>
                <w:kern w:val="2"/>
                <w:sz w:val="18"/>
                <w:szCs w:val="18"/>
                <w:highlight w:val="none"/>
                <w:lang w:val="zh-CN" w:eastAsia="zh-CN" w:bidi="ar"/>
              </w:rPr>
              <w:t>表</w:t>
            </w:r>
            <w:r>
              <w:rPr>
                <w:rFonts w:hint="eastAsia" w:ascii="黑体" w:hAnsi="宋体" w:eastAsia="黑体" w:cs="黑体"/>
                <w:bCs/>
                <w:color w:val="auto"/>
                <w:kern w:val="2"/>
                <w:sz w:val="18"/>
                <w:szCs w:val="18"/>
                <w:highlight w:val="none"/>
                <w:lang w:val="en-US" w:eastAsia="zh-CN" w:bidi="ar"/>
              </w:rPr>
              <w:t>3-1</w:t>
            </w:r>
            <w:r>
              <w:rPr>
                <w:rFonts w:hint="eastAsia" w:ascii="黑体" w:hAnsi="宋体" w:eastAsia="黑体" w:cs="黑体"/>
                <w:bCs/>
                <w:color w:val="auto"/>
                <w:kern w:val="2"/>
                <w:sz w:val="18"/>
                <w:szCs w:val="18"/>
                <w:highlight w:val="none"/>
                <w:lang w:val="zh-CN" w:eastAsia="zh-CN" w:bidi="ar"/>
              </w:rPr>
              <w:t xml:space="preserve">    </w:t>
            </w:r>
            <w:r>
              <w:rPr>
                <w:rFonts w:hint="eastAsia" w:ascii="黑体" w:hAnsi="宋体" w:eastAsia="黑体" w:cs="黑体"/>
                <w:bCs/>
                <w:color w:val="auto"/>
                <w:kern w:val="2"/>
                <w:sz w:val="18"/>
                <w:szCs w:val="18"/>
                <w:highlight w:val="none"/>
                <w:lang w:val="en-US" w:eastAsia="zh-CN" w:bidi="ar"/>
              </w:rPr>
              <w:t>项目特征因子环境空气质量</w:t>
            </w:r>
            <w:r>
              <w:rPr>
                <w:rFonts w:hint="eastAsia" w:ascii="黑体" w:hAnsi="宋体" w:eastAsia="黑体" w:cs="黑体"/>
                <w:bCs/>
                <w:color w:val="auto"/>
                <w:kern w:val="2"/>
                <w:sz w:val="18"/>
                <w:szCs w:val="18"/>
                <w:highlight w:val="none"/>
                <w:lang w:val="zh-CN" w:eastAsia="zh-CN" w:bidi="ar"/>
              </w:rPr>
              <w:t>监测结果</w:t>
            </w:r>
            <w:r>
              <w:rPr>
                <w:rFonts w:hint="eastAsia" w:ascii="黑体" w:hAnsi="宋体" w:eastAsia="黑体" w:cs="黑体"/>
                <w:bCs/>
                <w:color w:val="auto"/>
                <w:kern w:val="2"/>
                <w:sz w:val="18"/>
                <w:szCs w:val="18"/>
                <w:highlight w:val="none"/>
                <w:lang w:val="en-US" w:eastAsia="zh-CN" w:bidi="ar"/>
              </w:rPr>
              <w:t xml:space="preserve">  单位：ug/m</w:t>
            </w:r>
            <w:r>
              <w:rPr>
                <w:rFonts w:hint="eastAsia" w:ascii="黑体" w:hAnsi="宋体" w:eastAsia="黑体" w:cs="黑体"/>
                <w:bCs/>
                <w:color w:val="auto"/>
                <w:kern w:val="2"/>
                <w:sz w:val="18"/>
                <w:szCs w:val="18"/>
                <w:highlight w:val="none"/>
                <w:vertAlign w:val="superscript"/>
                <w:lang w:val="en-US" w:eastAsia="zh-CN" w:bidi="ar"/>
              </w:rPr>
              <w:t>3</w:t>
            </w:r>
          </w:p>
          <w:tbl>
            <w:tblPr>
              <w:tblStyle w:val="13"/>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0"/>
              <w:gridCol w:w="730"/>
              <w:gridCol w:w="1026"/>
              <w:gridCol w:w="933"/>
              <w:gridCol w:w="933"/>
              <w:gridCol w:w="933"/>
              <w:gridCol w:w="823"/>
              <w:gridCol w:w="968"/>
              <w:gridCol w:w="862"/>
            </w:tblGrid>
            <w:tr w14:paraId="7D612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7A4C620">
                  <w:pPr>
                    <w:keepNext w:val="0"/>
                    <w:keepLines w:val="0"/>
                    <w:widowControl w:val="0"/>
                    <w:suppressLineNumbers w:val="0"/>
                    <w:autoSpaceDE w:val="0"/>
                    <w:autoSpaceDN/>
                    <w:spacing w:before="0" w:beforeAutospacing="0" w:after="0" w:afterAutospacing="0" w:line="320" w:lineRule="exact"/>
                    <w:ind w:left="-105" w:leftChars="-50" w:right="-105" w:rightChars="-50"/>
                    <w:jc w:val="center"/>
                    <w:rPr>
                      <w:rFonts w:hint="default"/>
                      <w:b/>
                      <w:bCs/>
                      <w:color w:val="auto"/>
                      <w:sz w:val="18"/>
                      <w:szCs w:val="18"/>
                      <w:highlight w:val="none"/>
                      <w:lang w:val="en-US"/>
                    </w:rPr>
                  </w:pPr>
                  <w:r>
                    <w:rPr>
                      <w:rFonts w:hint="eastAsia" w:ascii="Times New Roman" w:hAnsi="Times New Roman" w:eastAsia="宋体" w:cs="宋体"/>
                      <w:b/>
                      <w:bCs/>
                      <w:color w:val="auto"/>
                      <w:kern w:val="2"/>
                      <w:sz w:val="18"/>
                      <w:szCs w:val="18"/>
                      <w:highlight w:val="none"/>
                      <w:lang w:val="en-US" w:eastAsia="zh-CN" w:bidi="ar"/>
                    </w:rPr>
                    <w:t>检测点位</w:t>
                  </w:r>
                </w:p>
              </w:tc>
              <w:tc>
                <w:tcPr>
                  <w:tcW w:w="7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385C800">
                  <w:pPr>
                    <w:keepNext w:val="0"/>
                    <w:keepLines w:val="0"/>
                    <w:widowControl w:val="0"/>
                    <w:suppressLineNumbers w:val="0"/>
                    <w:autoSpaceDE w:val="0"/>
                    <w:autoSpaceDN/>
                    <w:spacing w:before="0" w:beforeAutospacing="0" w:after="0" w:afterAutospacing="0" w:line="320" w:lineRule="exact"/>
                    <w:ind w:left="-105" w:leftChars="-50" w:right="-105" w:rightChars="-50"/>
                    <w:jc w:val="center"/>
                    <w:rPr>
                      <w:rFonts w:hint="default"/>
                      <w:b/>
                      <w:bCs/>
                      <w:color w:val="auto"/>
                      <w:sz w:val="18"/>
                      <w:szCs w:val="18"/>
                      <w:highlight w:val="none"/>
                      <w:lang w:val="en-US"/>
                    </w:rPr>
                  </w:pPr>
                  <w:r>
                    <w:rPr>
                      <w:rFonts w:hint="eastAsia" w:ascii="Times New Roman" w:hAnsi="Times New Roman" w:eastAsia="宋体" w:cs="宋体"/>
                      <w:b/>
                      <w:bCs/>
                      <w:color w:val="auto"/>
                      <w:kern w:val="2"/>
                      <w:sz w:val="18"/>
                      <w:szCs w:val="18"/>
                      <w:highlight w:val="none"/>
                      <w:lang w:val="en-US" w:eastAsia="zh-CN" w:bidi="ar"/>
                    </w:rPr>
                    <w:t>检测项目</w:t>
                  </w:r>
                </w:p>
              </w:tc>
              <w:tc>
                <w:tcPr>
                  <w:tcW w:w="1026" w:type="dxa"/>
                  <w:vMerge w:val="restart"/>
                  <w:tcBorders>
                    <w:top w:val="single" w:color="auto" w:sz="4" w:space="0"/>
                    <w:left w:val="single" w:color="auto" w:sz="4" w:space="0"/>
                    <w:right w:val="single" w:color="auto" w:sz="4" w:space="0"/>
                  </w:tcBorders>
                  <w:shd w:val="clear" w:color="auto" w:fill="auto"/>
                  <w:vAlign w:val="center"/>
                </w:tcPr>
                <w:p w14:paraId="01F337E0">
                  <w:pPr>
                    <w:keepNext w:val="0"/>
                    <w:keepLines w:val="0"/>
                    <w:widowControl w:val="0"/>
                    <w:suppressLineNumbers w:val="0"/>
                    <w:autoSpaceDE w:val="0"/>
                    <w:autoSpaceDN/>
                    <w:spacing w:before="0" w:beforeAutospacing="0" w:after="0" w:afterAutospacing="0" w:line="320" w:lineRule="exact"/>
                    <w:ind w:left="-105" w:leftChars="-50" w:right="-105" w:rightChars="-50"/>
                    <w:jc w:val="center"/>
                    <w:rPr>
                      <w:rFonts w:hint="default" w:ascii="Times New Roman" w:hAnsi="Times New Roman" w:eastAsia="宋体" w:cs="宋体"/>
                      <w:b/>
                      <w:bCs/>
                      <w:color w:val="auto"/>
                      <w:kern w:val="2"/>
                      <w:sz w:val="18"/>
                      <w:szCs w:val="18"/>
                      <w:highlight w:val="none"/>
                      <w:lang w:val="en-US" w:eastAsia="zh-CN" w:bidi="ar"/>
                    </w:rPr>
                  </w:pPr>
                  <w:r>
                    <w:rPr>
                      <w:rFonts w:hint="eastAsia" w:cs="宋体"/>
                      <w:b/>
                      <w:bCs/>
                      <w:color w:val="auto"/>
                      <w:kern w:val="2"/>
                      <w:sz w:val="18"/>
                      <w:szCs w:val="18"/>
                      <w:highlight w:val="none"/>
                      <w:lang w:val="en-US" w:eastAsia="zh-CN" w:bidi="ar"/>
                    </w:rPr>
                    <w:t>监测日期</w:t>
                  </w:r>
                </w:p>
              </w:tc>
              <w:tc>
                <w:tcPr>
                  <w:tcW w:w="362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0DF35F4">
                  <w:pPr>
                    <w:keepNext w:val="0"/>
                    <w:keepLines w:val="0"/>
                    <w:widowControl w:val="0"/>
                    <w:suppressLineNumbers w:val="0"/>
                    <w:autoSpaceDE w:val="0"/>
                    <w:autoSpaceDN/>
                    <w:spacing w:before="0" w:beforeAutospacing="0" w:after="0" w:afterAutospacing="0" w:line="320" w:lineRule="exact"/>
                    <w:ind w:left="-105" w:leftChars="-50" w:right="-105" w:rightChars="-50"/>
                    <w:jc w:val="center"/>
                    <w:rPr>
                      <w:rFonts w:hint="default"/>
                      <w:b/>
                      <w:bCs/>
                      <w:color w:val="auto"/>
                      <w:sz w:val="18"/>
                      <w:szCs w:val="18"/>
                      <w:highlight w:val="none"/>
                      <w:lang w:val="en-US"/>
                    </w:rPr>
                  </w:pPr>
                  <w:r>
                    <w:rPr>
                      <w:rFonts w:hint="eastAsia" w:ascii="Times New Roman" w:hAnsi="Times New Roman" w:eastAsia="宋体" w:cs="宋体"/>
                      <w:b/>
                      <w:bCs/>
                      <w:color w:val="auto"/>
                      <w:kern w:val="2"/>
                      <w:sz w:val="18"/>
                      <w:szCs w:val="18"/>
                      <w:highlight w:val="none"/>
                      <w:lang w:val="en-US" w:eastAsia="zh-CN" w:bidi="ar"/>
                    </w:rPr>
                    <w:t>检测结果</w:t>
                  </w:r>
                </w:p>
              </w:tc>
              <w:tc>
                <w:tcPr>
                  <w:tcW w:w="9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C0F3A47">
                  <w:pPr>
                    <w:keepNext w:val="0"/>
                    <w:keepLines w:val="0"/>
                    <w:widowControl w:val="0"/>
                    <w:suppressLineNumbers w:val="0"/>
                    <w:autoSpaceDE w:val="0"/>
                    <w:autoSpaceDN/>
                    <w:spacing w:before="0" w:beforeAutospacing="0" w:after="0" w:afterAutospacing="0" w:line="320" w:lineRule="exact"/>
                    <w:ind w:left="0" w:right="0"/>
                    <w:jc w:val="center"/>
                    <w:rPr>
                      <w:rFonts w:hint="default"/>
                      <w:b/>
                      <w:bCs/>
                      <w:color w:val="auto"/>
                      <w:sz w:val="18"/>
                      <w:szCs w:val="18"/>
                      <w:highlight w:val="none"/>
                      <w:lang w:val="en-US"/>
                    </w:rPr>
                  </w:pPr>
                  <w:r>
                    <w:rPr>
                      <w:rFonts w:hint="eastAsia" w:cs="宋体"/>
                      <w:b/>
                      <w:bCs/>
                      <w:color w:val="auto"/>
                      <w:kern w:val="2"/>
                      <w:sz w:val="18"/>
                      <w:szCs w:val="18"/>
                      <w:highlight w:val="none"/>
                      <w:lang w:val="en-US" w:eastAsia="zh-CN" w:bidi="ar"/>
                    </w:rPr>
                    <w:t>标准限值</w:t>
                  </w:r>
                </w:p>
              </w:tc>
              <w:tc>
                <w:tcPr>
                  <w:tcW w:w="862" w:type="dxa"/>
                  <w:vMerge w:val="restart"/>
                  <w:tcBorders>
                    <w:top w:val="single" w:color="auto" w:sz="4" w:space="0"/>
                    <w:left w:val="single" w:color="auto" w:sz="4" w:space="0"/>
                    <w:right w:val="single" w:color="auto" w:sz="4" w:space="0"/>
                  </w:tcBorders>
                  <w:shd w:val="clear" w:color="auto" w:fill="auto"/>
                  <w:vAlign w:val="center"/>
                </w:tcPr>
                <w:p w14:paraId="2734ED21">
                  <w:pPr>
                    <w:keepNext w:val="0"/>
                    <w:keepLines w:val="0"/>
                    <w:widowControl w:val="0"/>
                    <w:suppressLineNumbers w:val="0"/>
                    <w:autoSpaceDE w:val="0"/>
                    <w:autoSpaceDN/>
                    <w:spacing w:before="0" w:beforeAutospacing="0" w:after="0" w:afterAutospacing="0" w:line="320" w:lineRule="exact"/>
                    <w:ind w:left="0" w:right="0"/>
                    <w:jc w:val="center"/>
                    <w:rPr>
                      <w:rFonts w:hint="default" w:ascii="Times New Roman" w:hAnsi="Times New Roman" w:eastAsia="宋体" w:cs="宋体"/>
                      <w:b/>
                      <w:bCs/>
                      <w:color w:val="auto"/>
                      <w:kern w:val="2"/>
                      <w:sz w:val="18"/>
                      <w:szCs w:val="18"/>
                      <w:highlight w:val="none"/>
                      <w:lang w:val="en-US" w:eastAsia="zh-CN" w:bidi="ar"/>
                    </w:rPr>
                  </w:pPr>
                  <w:r>
                    <w:rPr>
                      <w:rFonts w:hint="eastAsia" w:cs="宋体"/>
                      <w:b/>
                      <w:bCs/>
                      <w:color w:val="auto"/>
                      <w:kern w:val="2"/>
                      <w:sz w:val="18"/>
                      <w:szCs w:val="18"/>
                      <w:highlight w:val="none"/>
                      <w:lang w:val="en-US" w:eastAsia="zh-CN" w:bidi="ar"/>
                    </w:rPr>
                    <w:t>最大占标率</w:t>
                  </w:r>
                </w:p>
              </w:tc>
            </w:tr>
            <w:tr w14:paraId="1D025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5" w:hRule="atLeast"/>
                <w:jc w:val="center"/>
              </w:trPr>
              <w:tc>
                <w:tcPr>
                  <w:tcW w:w="7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37D74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3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BD683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026" w:type="dxa"/>
                  <w:vMerge w:val="continue"/>
                  <w:tcBorders>
                    <w:left w:val="single" w:color="auto" w:sz="4" w:space="0"/>
                    <w:bottom w:val="single" w:color="auto" w:sz="4" w:space="0"/>
                    <w:right w:val="single" w:color="auto" w:sz="4" w:space="0"/>
                  </w:tcBorders>
                  <w:shd w:val="clear" w:color="auto" w:fill="auto"/>
                  <w:vAlign w:val="center"/>
                </w:tcPr>
                <w:p w14:paraId="5E3A31AD">
                  <w:pPr>
                    <w:keepNext w:val="0"/>
                    <w:keepLines w:val="0"/>
                    <w:widowControl w:val="0"/>
                    <w:suppressLineNumbers w:val="0"/>
                    <w:autoSpaceDE w:val="0"/>
                    <w:autoSpaceDN/>
                    <w:spacing w:before="0" w:beforeAutospacing="0" w:after="0" w:afterAutospacing="0" w:line="320" w:lineRule="exact"/>
                    <w:ind w:left="-105" w:leftChars="-50" w:right="-105" w:rightChars="-50"/>
                    <w:jc w:val="center"/>
                    <w:rPr>
                      <w:rFonts w:hint="eastAsia" w:ascii="Times New Roman" w:hAnsi="Times New Roman" w:eastAsia="宋体" w:cs="宋体"/>
                      <w:b/>
                      <w:bCs/>
                      <w:color w:val="auto"/>
                      <w:kern w:val="2"/>
                      <w:sz w:val="18"/>
                      <w:szCs w:val="18"/>
                      <w:highlight w:val="none"/>
                      <w:lang w:val="en-US" w:eastAsia="zh-CN" w:bidi="ar"/>
                    </w:rPr>
                  </w:pP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042B4B0D">
                  <w:pPr>
                    <w:keepNext w:val="0"/>
                    <w:keepLines w:val="0"/>
                    <w:widowControl w:val="0"/>
                    <w:suppressLineNumbers w:val="0"/>
                    <w:autoSpaceDE w:val="0"/>
                    <w:autoSpaceDN/>
                    <w:spacing w:before="0" w:beforeAutospacing="0" w:after="0" w:afterAutospacing="0" w:line="320" w:lineRule="exact"/>
                    <w:ind w:left="-105" w:leftChars="-50" w:right="-105" w:rightChars="-50"/>
                    <w:jc w:val="center"/>
                    <w:rPr>
                      <w:rFonts w:hint="default"/>
                      <w:b/>
                      <w:bCs/>
                      <w:color w:val="auto"/>
                      <w:sz w:val="18"/>
                      <w:szCs w:val="18"/>
                      <w:highlight w:val="none"/>
                      <w:lang w:val="en-US"/>
                    </w:rPr>
                  </w:pPr>
                  <w:r>
                    <w:rPr>
                      <w:rFonts w:hint="eastAsia" w:ascii="Times New Roman" w:hAnsi="Times New Roman" w:eastAsia="宋体" w:cs="宋体"/>
                      <w:b/>
                      <w:bCs/>
                      <w:color w:val="auto"/>
                      <w:kern w:val="2"/>
                      <w:sz w:val="18"/>
                      <w:szCs w:val="18"/>
                      <w:highlight w:val="none"/>
                      <w:lang w:val="en-US" w:eastAsia="zh-CN" w:bidi="ar"/>
                    </w:rPr>
                    <w:t>第</w:t>
                  </w:r>
                  <w:r>
                    <w:rPr>
                      <w:rFonts w:hint="default" w:ascii="Times New Roman" w:hAnsi="Times New Roman" w:eastAsia="宋体" w:cs="Times New Roman"/>
                      <w:b/>
                      <w:bCs/>
                      <w:color w:val="auto"/>
                      <w:kern w:val="2"/>
                      <w:sz w:val="18"/>
                      <w:szCs w:val="18"/>
                      <w:highlight w:val="none"/>
                      <w:lang w:val="en-US" w:eastAsia="zh-CN" w:bidi="ar"/>
                    </w:rPr>
                    <w:t>1</w:t>
                  </w:r>
                  <w:r>
                    <w:rPr>
                      <w:rFonts w:hint="eastAsia" w:ascii="Times New Roman" w:hAnsi="Times New Roman" w:eastAsia="宋体" w:cs="宋体"/>
                      <w:b/>
                      <w:bCs/>
                      <w:color w:val="auto"/>
                      <w:kern w:val="2"/>
                      <w:sz w:val="18"/>
                      <w:szCs w:val="18"/>
                      <w:highlight w:val="none"/>
                      <w:lang w:val="en-US" w:eastAsia="zh-CN" w:bidi="ar"/>
                    </w:rPr>
                    <w:t>次</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3C4F122D">
                  <w:pPr>
                    <w:keepNext w:val="0"/>
                    <w:keepLines w:val="0"/>
                    <w:widowControl w:val="0"/>
                    <w:suppressLineNumbers w:val="0"/>
                    <w:autoSpaceDE w:val="0"/>
                    <w:autoSpaceDN/>
                    <w:spacing w:before="0" w:beforeAutospacing="0" w:after="0" w:afterAutospacing="0" w:line="320" w:lineRule="exact"/>
                    <w:ind w:left="-105" w:leftChars="-50" w:right="-105" w:rightChars="-50"/>
                    <w:jc w:val="center"/>
                    <w:rPr>
                      <w:rFonts w:hint="default"/>
                      <w:b/>
                      <w:bCs/>
                      <w:color w:val="auto"/>
                      <w:sz w:val="18"/>
                      <w:szCs w:val="18"/>
                      <w:highlight w:val="none"/>
                      <w:lang w:val="en-US"/>
                    </w:rPr>
                  </w:pPr>
                  <w:r>
                    <w:rPr>
                      <w:rFonts w:hint="eastAsia" w:ascii="Times New Roman" w:hAnsi="Times New Roman" w:eastAsia="宋体" w:cs="宋体"/>
                      <w:b/>
                      <w:bCs/>
                      <w:color w:val="auto"/>
                      <w:kern w:val="2"/>
                      <w:sz w:val="18"/>
                      <w:szCs w:val="18"/>
                      <w:highlight w:val="none"/>
                      <w:lang w:val="en-US" w:eastAsia="zh-CN" w:bidi="ar"/>
                    </w:rPr>
                    <w:t>第</w:t>
                  </w:r>
                  <w:r>
                    <w:rPr>
                      <w:rFonts w:hint="default" w:ascii="Times New Roman" w:hAnsi="Times New Roman" w:eastAsia="宋体" w:cs="Times New Roman"/>
                      <w:b/>
                      <w:bCs/>
                      <w:color w:val="auto"/>
                      <w:kern w:val="2"/>
                      <w:sz w:val="18"/>
                      <w:szCs w:val="18"/>
                      <w:highlight w:val="none"/>
                      <w:lang w:val="en-US" w:eastAsia="zh-CN" w:bidi="ar"/>
                    </w:rPr>
                    <w:t>2</w:t>
                  </w:r>
                  <w:r>
                    <w:rPr>
                      <w:rFonts w:hint="eastAsia" w:ascii="Times New Roman" w:hAnsi="Times New Roman" w:eastAsia="宋体" w:cs="宋体"/>
                      <w:b/>
                      <w:bCs/>
                      <w:color w:val="auto"/>
                      <w:kern w:val="2"/>
                      <w:sz w:val="18"/>
                      <w:szCs w:val="18"/>
                      <w:highlight w:val="none"/>
                      <w:lang w:val="en-US" w:eastAsia="zh-CN" w:bidi="ar"/>
                    </w:rPr>
                    <w:t>次</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16E562DD">
                  <w:pPr>
                    <w:keepNext w:val="0"/>
                    <w:keepLines w:val="0"/>
                    <w:widowControl w:val="0"/>
                    <w:suppressLineNumbers w:val="0"/>
                    <w:autoSpaceDE w:val="0"/>
                    <w:autoSpaceDN/>
                    <w:spacing w:before="0" w:beforeAutospacing="0" w:after="0" w:afterAutospacing="0" w:line="320" w:lineRule="exact"/>
                    <w:ind w:left="-105" w:leftChars="-50" w:right="-105" w:rightChars="-50"/>
                    <w:jc w:val="center"/>
                    <w:rPr>
                      <w:rFonts w:hint="default"/>
                      <w:b/>
                      <w:bCs/>
                      <w:color w:val="auto"/>
                      <w:sz w:val="18"/>
                      <w:szCs w:val="18"/>
                      <w:highlight w:val="none"/>
                      <w:lang w:val="en-US"/>
                    </w:rPr>
                  </w:pPr>
                  <w:r>
                    <w:rPr>
                      <w:rFonts w:hint="eastAsia" w:ascii="Times New Roman" w:hAnsi="Times New Roman" w:eastAsia="宋体" w:cs="宋体"/>
                      <w:b/>
                      <w:bCs/>
                      <w:color w:val="auto"/>
                      <w:kern w:val="2"/>
                      <w:sz w:val="18"/>
                      <w:szCs w:val="18"/>
                      <w:highlight w:val="none"/>
                      <w:lang w:val="en-US" w:eastAsia="zh-CN" w:bidi="ar"/>
                    </w:rPr>
                    <w:t>第</w:t>
                  </w:r>
                  <w:r>
                    <w:rPr>
                      <w:rFonts w:hint="default" w:ascii="Times New Roman" w:hAnsi="Times New Roman" w:eastAsia="宋体" w:cs="Times New Roman"/>
                      <w:b/>
                      <w:bCs/>
                      <w:color w:val="auto"/>
                      <w:kern w:val="2"/>
                      <w:sz w:val="18"/>
                      <w:szCs w:val="18"/>
                      <w:highlight w:val="none"/>
                      <w:lang w:val="en-US" w:eastAsia="zh-CN" w:bidi="ar"/>
                    </w:rPr>
                    <w:t>3</w:t>
                  </w:r>
                  <w:r>
                    <w:rPr>
                      <w:rFonts w:hint="eastAsia" w:ascii="Times New Roman" w:hAnsi="Times New Roman" w:eastAsia="宋体" w:cs="宋体"/>
                      <w:b/>
                      <w:bCs/>
                      <w:color w:val="auto"/>
                      <w:kern w:val="2"/>
                      <w:sz w:val="18"/>
                      <w:szCs w:val="18"/>
                      <w:highlight w:val="none"/>
                      <w:lang w:val="en-US" w:eastAsia="zh-CN" w:bidi="ar"/>
                    </w:rPr>
                    <w:t>次</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556F963D">
                  <w:pPr>
                    <w:keepNext w:val="0"/>
                    <w:keepLines w:val="0"/>
                    <w:widowControl w:val="0"/>
                    <w:suppressLineNumbers w:val="0"/>
                    <w:autoSpaceDE w:val="0"/>
                    <w:autoSpaceDN/>
                    <w:spacing w:before="0" w:beforeAutospacing="0" w:after="0" w:afterAutospacing="0" w:line="320" w:lineRule="exact"/>
                    <w:ind w:left="-105" w:leftChars="-50" w:right="-105" w:rightChars="-50"/>
                    <w:jc w:val="center"/>
                    <w:rPr>
                      <w:rFonts w:hint="default"/>
                      <w:b/>
                      <w:bCs/>
                      <w:color w:val="auto"/>
                      <w:sz w:val="18"/>
                      <w:szCs w:val="18"/>
                      <w:highlight w:val="none"/>
                      <w:lang w:val="en-US"/>
                    </w:rPr>
                  </w:pPr>
                  <w:r>
                    <w:rPr>
                      <w:rFonts w:hint="eastAsia" w:ascii="Times New Roman" w:hAnsi="Times New Roman" w:eastAsia="宋体" w:cs="宋体"/>
                      <w:b/>
                      <w:bCs/>
                      <w:color w:val="auto"/>
                      <w:kern w:val="2"/>
                      <w:sz w:val="18"/>
                      <w:szCs w:val="18"/>
                      <w:highlight w:val="none"/>
                      <w:lang w:val="en-US" w:eastAsia="zh-CN" w:bidi="ar"/>
                    </w:rPr>
                    <w:t>第</w:t>
                  </w:r>
                  <w:r>
                    <w:rPr>
                      <w:rFonts w:hint="default" w:ascii="Times New Roman" w:hAnsi="Times New Roman" w:eastAsia="宋体" w:cs="Times New Roman"/>
                      <w:b/>
                      <w:bCs/>
                      <w:color w:val="auto"/>
                      <w:kern w:val="2"/>
                      <w:sz w:val="18"/>
                      <w:szCs w:val="18"/>
                      <w:highlight w:val="none"/>
                      <w:lang w:val="en-US" w:eastAsia="zh-CN" w:bidi="ar"/>
                    </w:rPr>
                    <w:t>4</w:t>
                  </w:r>
                  <w:r>
                    <w:rPr>
                      <w:rFonts w:hint="eastAsia" w:ascii="Times New Roman" w:hAnsi="Times New Roman" w:eastAsia="宋体" w:cs="宋体"/>
                      <w:b/>
                      <w:bCs/>
                      <w:color w:val="auto"/>
                      <w:kern w:val="2"/>
                      <w:sz w:val="18"/>
                      <w:szCs w:val="18"/>
                      <w:highlight w:val="none"/>
                      <w:lang w:val="en-US" w:eastAsia="zh-CN" w:bidi="ar"/>
                    </w:rPr>
                    <w:t>次</w:t>
                  </w:r>
                </w:p>
              </w:tc>
              <w:tc>
                <w:tcPr>
                  <w:tcW w:w="9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A55851">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862" w:type="dxa"/>
                  <w:vMerge w:val="continue"/>
                  <w:tcBorders>
                    <w:left w:val="single" w:color="auto" w:sz="4" w:space="0"/>
                    <w:bottom w:val="single" w:color="auto" w:sz="4" w:space="0"/>
                    <w:right w:val="single" w:color="auto" w:sz="4" w:space="0"/>
                  </w:tcBorders>
                  <w:shd w:val="clear" w:color="auto" w:fill="auto"/>
                  <w:vAlign w:val="center"/>
                </w:tcPr>
                <w:p w14:paraId="3555965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r>
            <w:tr w14:paraId="5E401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5" w:hRule="atLeast"/>
                <w:jc w:val="center"/>
              </w:trPr>
              <w:tc>
                <w:tcPr>
                  <w:tcW w:w="730" w:type="dxa"/>
                  <w:vMerge w:val="restart"/>
                  <w:tcBorders>
                    <w:top w:val="single" w:color="auto" w:sz="4" w:space="0"/>
                    <w:left w:val="single" w:color="auto" w:sz="4" w:space="0"/>
                    <w:right w:val="single" w:color="auto" w:sz="4" w:space="0"/>
                  </w:tcBorders>
                  <w:shd w:val="clear" w:color="auto" w:fill="auto"/>
                  <w:vAlign w:val="center"/>
                </w:tcPr>
                <w:p w14:paraId="68774B08">
                  <w:pPr>
                    <w:keepNext w:val="0"/>
                    <w:keepLines w:val="0"/>
                    <w:widowControl w:val="0"/>
                    <w:suppressLineNumbers w:val="0"/>
                    <w:autoSpaceDE w:val="0"/>
                    <w:autoSpaceDN/>
                    <w:spacing w:before="0" w:beforeAutospacing="0" w:after="0" w:afterAutospacing="0" w:line="320" w:lineRule="exact"/>
                    <w:ind w:left="0" w:right="0"/>
                    <w:jc w:val="center"/>
                    <w:rPr>
                      <w:rFonts w:hint="default" w:ascii="宋体" w:hAnsi="宋体" w:eastAsia="宋体" w:cs="宋体"/>
                      <w:color w:val="auto"/>
                      <w:sz w:val="18"/>
                      <w:szCs w:val="18"/>
                      <w:highlight w:val="none"/>
                      <w:lang w:val="en-US" w:eastAsia="zh-CN"/>
                    </w:rPr>
                  </w:pPr>
                  <w:r>
                    <w:rPr>
                      <w:rFonts w:hint="eastAsia" w:ascii="宋体" w:hAnsi="宋体" w:cs="宋体"/>
                      <w:color w:val="auto"/>
                      <w:sz w:val="18"/>
                      <w:szCs w:val="18"/>
                      <w:highlight w:val="none"/>
                      <w:lang w:val="en-US" w:eastAsia="zh-CN"/>
                    </w:rPr>
                    <w:t>项目区下风向住户处</w:t>
                  </w:r>
                </w:p>
              </w:tc>
              <w:tc>
                <w:tcPr>
                  <w:tcW w:w="730" w:type="dxa"/>
                  <w:vMerge w:val="restart"/>
                  <w:tcBorders>
                    <w:top w:val="single" w:color="auto" w:sz="4" w:space="0"/>
                    <w:left w:val="single" w:color="auto" w:sz="4" w:space="0"/>
                    <w:right w:val="single" w:color="auto" w:sz="4" w:space="0"/>
                  </w:tcBorders>
                  <w:shd w:val="clear" w:color="auto" w:fill="auto"/>
                  <w:vAlign w:val="center"/>
                </w:tcPr>
                <w:p w14:paraId="03ECA3DB">
                  <w:pPr>
                    <w:keepNext w:val="0"/>
                    <w:keepLines w:val="0"/>
                    <w:widowControl w:val="0"/>
                    <w:suppressLineNumbers w:val="0"/>
                    <w:spacing w:before="0" w:beforeAutospacing="0" w:after="0" w:afterAutospacing="0" w:line="320" w:lineRule="exact"/>
                    <w:ind w:left="0" w:right="0"/>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硫化氢</w:t>
                  </w: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14:paraId="3F9D220F">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2022.12.31</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0F631695">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4</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3DA6B428">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4</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3A0BC7EA">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3E3C7E98">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42157FB6">
                  <w:pPr>
                    <w:keepNext w:val="0"/>
                    <w:keepLines w:val="0"/>
                    <w:widowControl/>
                    <w:suppressLineNumbers w:val="0"/>
                    <w:spacing w:before="0" w:beforeAutospacing="0" w:after="0" w:afterAutospacing="0" w:line="320" w:lineRule="exact"/>
                    <w:ind w:left="0" w:right="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10</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14:paraId="4F93C70E">
                  <w:pPr>
                    <w:keepNext w:val="0"/>
                    <w:keepLines w:val="0"/>
                    <w:widowControl/>
                    <w:suppressLineNumbers w:val="0"/>
                    <w:spacing w:before="0" w:beforeAutospacing="0" w:after="0" w:afterAutospacing="0" w:line="320" w:lineRule="exact"/>
                    <w:ind w:left="0" w:right="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0.4</w:t>
                  </w:r>
                </w:p>
              </w:tc>
            </w:tr>
            <w:tr w14:paraId="2DBF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5" w:hRule="atLeast"/>
                <w:jc w:val="center"/>
              </w:trPr>
              <w:tc>
                <w:tcPr>
                  <w:tcW w:w="730" w:type="dxa"/>
                  <w:vMerge w:val="continue"/>
                  <w:tcBorders>
                    <w:left w:val="single" w:color="auto" w:sz="4" w:space="0"/>
                    <w:right w:val="single" w:color="auto" w:sz="4" w:space="0"/>
                  </w:tcBorders>
                  <w:shd w:val="clear" w:color="auto" w:fill="auto"/>
                  <w:vAlign w:val="center"/>
                </w:tcPr>
                <w:p w14:paraId="1B206CA5">
                  <w:pPr>
                    <w:keepNext w:val="0"/>
                    <w:keepLines w:val="0"/>
                    <w:widowControl w:val="0"/>
                    <w:suppressLineNumbers w:val="0"/>
                    <w:autoSpaceDE w:val="0"/>
                    <w:autoSpaceDN/>
                    <w:spacing w:before="0" w:beforeAutospacing="0" w:after="0" w:afterAutospacing="0" w:line="320" w:lineRule="exact"/>
                    <w:ind w:left="0" w:right="0"/>
                    <w:jc w:val="center"/>
                    <w:rPr>
                      <w:rFonts w:hint="eastAsia" w:ascii="宋体" w:hAnsi="宋体" w:cs="宋体"/>
                      <w:color w:val="auto"/>
                      <w:sz w:val="18"/>
                      <w:szCs w:val="18"/>
                      <w:highlight w:val="none"/>
                      <w:lang w:val="en-US" w:eastAsia="zh-CN"/>
                    </w:rPr>
                  </w:pPr>
                </w:p>
              </w:tc>
              <w:tc>
                <w:tcPr>
                  <w:tcW w:w="730" w:type="dxa"/>
                  <w:vMerge w:val="continue"/>
                  <w:tcBorders>
                    <w:left w:val="single" w:color="auto" w:sz="4" w:space="0"/>
                    <w:right w:val="single" w:color="auto" w:sz="4" w:space="0"/>
                  </w:tcBorders>
                  <w:shd w:val="clear" w:color="auto" w:fill="auto"/>
                  <w:vAlign w:val="center"/>
                </w:tcPr>
                <w:p w14:paraId="463F88D8">
                  <w:pPr>
                    <w:keepNext w:val="0"/>
                    <w:keepLines w:val="0"/>
                    <w:widowControl w:val="0"/>
                    <w:suppressLineNumbers w:val="0"/>
                    <w:spacing w:before="0" w:beforeAutospacing="0" w:after="0" w:afterAutospacing="0" w:line="320" w:lineRule="exact"/>
                    <w:ind w:left="0" w:right="0"/>
                    <w:jc w:val="center"/>
                    <w:rPr>
                      <w:rFonts w:hint="eastAsia"/>
                      <w:color w:val="auto"/>
                      <w:sz w:val="18"/>
                      <w:szCs w:val="18"/>
                      <w:highlight w:val="none"/>
                      <w:lang w:val="en-US" w:eastAsia="zh-CN"/>
                    </w:rPr>
                  </w:pP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14:paraId="00B14E83">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2023.1.1</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52E52106">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3</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0FFD0566">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4</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04424B0C">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2</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00C71FE9">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4</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2224D877">
                  <w:pPr>
                    <w:keepNext w:val="0"/>
                    <w:keepLines w:val="0"/>
                    <w:widowControl/>
                    <w:suppressLineNumbers w:val="0"/>
                    <w:spacing w:before="0" w:beforeAutospacing="0" w:after="0" w:afterAutospacing="0" w:line="320" w:lineRule="exact"/>
                    <w:ind w:left="0" w:right="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10</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14:paraId="7D5CBF69">
                  <w:pPr>
                    <w:keepNext w:val="0"/>
                    <w:keepLines w:val="0"/>
                    <w:widowControl/>
                    <w:suppressLineNumbers w:val="0"/>
                    <w:spacing w:before="0" w:beforeAutospacing="0" w:after="0" w:afterAutospacing="0" w:line="320" w:lineRule="exact"/>
                    <w:ind w:left="0" w:right="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0.4</w:t>
                  </w:r>
                </w:p>
              </w:tc>
            </w:tr>
            <w:tr w14:paraId="0608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1" w:hRule="atLeast"/>
                <w:jc w:val="center"/>
              </w:trPr>
              <w:tc>
                <w:tcPr>
                  <w:tcW w:w="730" w:type="dxa"/>
                  <w:vMerge w:val="continue"/>
                  <w:tcBorders>
                    <w:left w:val="single" w:color="auto" w:sz="4" w:space="0"/>
                    <w:right w:val="single" w:color="auto" w:sz="4" w:space="0"/>
                  </w:tcBorders>
                  <w:shd w:val="clear" w:color="auto" w:fill="auto"/>
                  <w:vAlign w:val="center"/>
                </w:tcPr>
                <w:p w14:paraId="3EDB2D43">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30" w:type="dxa"/>
                  <w:vMerge w:val="continue"/>
                  <w:tcBorders>
                    <w:left w:val="single" w:color="auto" w:sz="4" w:space="0"/>
                    <w:bottom w:val="single" w:color="auto" w:sz="4" w:space="0"/>
                    <w:right w:val="single" w:color="auto" w:sz="4" w:space="0"/>
                  </w:tcBorders>
                  <w:shd w:val="clear" w:color="auto" w:fill="auto"/>
                  <w:vAlign w:val="center"/>
                </w:tcPr>
                <w:p w14:paraId="1FB8F8AB">
                  <w:pPr>
                    <w:keepNext w:val="0"/>
                    <w:keepLines w:val="0"/>
                    <w:widowControl w:val="0"/>
                    <w:suppressLineNumbers w:val="0"/>
                    <w:autoSpaceDE w:val="0"/>
                    <w:autoSpaceDN/>
                    <w:spacing w:before="0" w:beforeAutospacing="0" w:after="0" w:afterAutospacing="0" w:line="320" w:lineRule="exact"/>
                    <w:ind w:left="0" w:right="-105" w:rightChars="-50"/>
                    <w:jc w:val="center"/>
                    <w:rPr>
                      <w:rFonts w:hint="default"/>
                      <w:color w:val="auto"/>
                      <w:sz w:val="18"/>
                      <w:szCs w:val="18"/>
                      <w:highlight w:val="none"/>
                      <w:lang w:val="en-US"/>
                    </w:rPr>
                  </w:pP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14:paraId="7C09FA6A">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2023.1.2</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1D63C85E">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5</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664AE32F">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4</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53875321">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4</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7AFAA528">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3</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3BE23BF1">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10</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14:paraId="0251E009">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0.5</w:t>
                  </w:r>
                </w:p>
              </w:tc>
            </w:tr>
            <w:tr w14:paraId="32CF9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5" w:hRule="atLeast"/>
                <w:jc w:val="center"/>
              </w:trPr>
              <w:tc>
                <w:tcPr>
                  <w:tcW w:w="730" w:type="dxa"/>
                  <w:vMerge w:val="continue"/>
                  <w:tcBorders>
                    <w:left w:val="single" w:color="auto" w:sz="4" w:space="0"/>
                    <w:right w:val="single" w:color="auto" w:sz="4" w:space="0"/>
                  </w:tcBorders>
                  <w:shd w:val="clear" w:color="auto" w:fill="auto"/>
                  <w:vAlign w:val="center"/>
                </w:tcPr>
                <w:p w14:paraId="3423B0CE">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30" w:type="dxa"/>
                  <w:vMerge w:val="restart"/>
                  <w:tcBorders>
                    <w:top w:val="single" w:color="auto" w:sz="4" w:space="0"/>
                    <w:left w:val="single" w:color="auto" w:sz="4" w:space="0"/>
                    <w:right w:val="single" w:color="auto" w:sz="4" w:space="0"/>
                  </w:tcBorders>
                  <w:shd w:val="clear" w:color="auto" w:fill="auto"/>
                  <w:vAlign w:val="center"/>
                </w:tcPr>
                <w:p w14:paraId="4E4C7AB1">
                  <w:pPr>
                    <w:keepNext w:val="0"/>
                    <w:keepLines w:val="0"/>
                    <w:widowControl w:val="0"/>
                    <w:suppressLineNumbers w:val="0"/>
                    <w:autoSpaceDE w:val="0"/>
                    <w:autoSpaceDN/>
                    <w:spacing w:before="0" w:beforeAutospacing="0" w:after="0" w:afterAutospacing="0" w:line="320" w:lineRule="exact"/>
                    <w:ind w:left="0" w:right="-105" w:rightChars="-50"/>
                    <w:jc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氨</w:t>
                  </w: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14:paraId="1D67767B">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2022.12.31</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538A7F0E">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7273B99C">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7A388652">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30</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236AAAE6">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737C29B9">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200</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14:paraId="65A5323D">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0.15</w:t>
                  </w:r>
                </w:p>
              </w:tc>
            </w:tr>
            <w:tr w14:paraId="3AFBA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5" w:hRule="atLeast"/>
                <w:jc w:val="center"/>
              </w:trPr>
              <w:tc>
                <w:tcPr>
                  <w:tcW w:w="730" w:type="dxa"/>
                  <w:vMerge w:val="continue"/>
                  <w:tcBorders>
                    <w:left w:val="single" w:color="auto" w:sz="4" w:space="0"/>
                    <w:right w:val="single" w:color="auto" w:sz="4" w:space="0"/>
                  </w:tcBorders>
                  <w:shd w:val="clear" w:color="auto" w:fill="auto"/>
                  <w:vAlign w:val="center"/>
                </w:tcPr>
                <w:p w14:paraId="55049DE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30" w:type="dxa"/>
                  <w:vMerge w:val="continue"/>
                  <w:tcBorders>
                    <w:left w:val="single" w:color="auto" w:sz="4" w:space="0"/>
                    <w:right w:val="single" w:color="auto" w:sz="4" w:space="0"/>
                  </w:tcBorders>
                  <w:shd w:val="clear" w:color="auto" w:fill="auto"/>
                  <w:vAlign w:val="center"/>
                </w:tcPr>
                <w:p w14:paraId="301B2446">
                  <w:pPr>
                    <w:keepNext w:val="0"/>
                    <w:keepLines w:val="0"/>
                    <w:widowControl w:val="0"/>
                    <w:suppressLineNumbers w:val="0"/>
                    <w:autoSpaceDE w:val="0"/>
                    <w:autoSpaceDN/>
                    <w:spacing w:before="0" w:beforeAutospacing="0" w:after="0" w:afterAutospacing="0" w:line="320" w:lineRule="exact"/>
                    <w:ind w:left="0" w:right="-105" w:rightChars="-50"/>
                    <w:jc w:val="center"/>
                    <w:rPr>
                      <w:rFonts w:hint="eastAsia"/>
                      <w:color w:val="auto"/>
                      <w:sz w:val="18"/>
                      <w:szCs w:val="18"/>
                      <w:highlight w:val="none"/>
                      <w:lang w:val="en-US" w:eastAsia="zh-CN"/>
                    </w:rPr>
                  </w:pP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14:paraId="2B775CA2">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2023.1.1</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490F6996">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50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4CD330A5">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28A27299">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40</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10F38D56">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40</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34EB53EE">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200</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14:paraId="51C9FA3E">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0.25</w:t>
                  </w:r>
                </w:p>
              </w:tc>
            </w:tr>
            <w:tr w14:paraId="5BC58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5" w:hRule="atLeast"/>
                <w:jc w:val="center"/>
              </w:trPr>
              <w:tc>
                <w:tcPr>
                  <w:tcW w:w="730" w:type="dxa"/>
                  <w:vMerge w:val="continue"/>
                  <w:tcBorders>
                    <w:left w:val="single" w:color="auto" w:sz="4" w:space="0"/>
                    <w:right w:val="single" w:color="auto" w:sz="4" w:space="0"/>
                  </w:tcBorders>
                  <w:shd w:val="clear" w:color="auto" w:fill="auto"/>
                  <w:vAlign w:val="center"/>
                </w:tcPr>
                <w:p w14:paraId="3F6972DF">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30" w:type="dxa"/>
                  <w:vMerge w:val="continue"/>
                  <w:tcBorders>
                    <w:left w:val="single" w:color="auto" w:sz="4" w:space="0"/>
                    <w:bottom w:val="single" w:color="auto" w:sz="4" w:space="0"/>
                    <w:right w:val="single" w:color="auto" w:sz="4" w:space="0"/>
                  </w:tcBorders>
                  <w:shd w:val="clear" w:color="auto" w:fill="auto"/>
                  <w:vAlign w:val="center"/>
                </w:tcPr>
                <w:p w14:paraId="5A7B1811">
                  <w:pPr>
                    <w:keepNext w:val="0"/>
                    <w:keepLines w:val="0"/>
                    <w:widowControl w:val="0"/>
                    <w:suppressLineNumbers w:val="0"/>
                    <w:autoSpaceDE w:val="0"/>
                    <w:autoSpaceDN/>
                    <w:spacing w:before="0" w:beforeAutospacing="0" w:after="0" w:afterAutospacing="0" w:line="320" w:lineRule="exact"/>
                    <w:ind w:left="0" w:right="-105" w:rightChars="-50"/>
                    <w:jc w:val="center"/>
                    <w:rPr>
                      <w:rFonts w:hint="default"/>
                      <w:color w:val="auto"/>
                      <w:sz w:val="18"/>
                      <w:szCs w:val="18"/>
                      <w:highlight w:val="none"/>
                      <w:lang w:val="en-US"/>
                    </w:rPr>
                  </w:pP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14:paraId="79FC3FA5">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2023.1.2</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393EEB37">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30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740FBE84">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13C0B0C2">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3227A05A">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32CB66B6">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200</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14:paraId="38DAB788">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0.15</w:t>
                  </w:r>
                </w:p>
              </w:tc>
            </w:tr>
            <w:tr w14:paraId="69D3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5" w:hRule="atLeast"/>
                <w:jc w:val="center"/>
              </w:trPr>
              <w:tc>
                <w:tcPr>
                  <w:tcW w:w="730" w:type="dxa"/>
                  <w:vMerge w:val="continue"/>
                  <w:tcBorders>
                    <w:left w:val="single" w:color="auto" w:sz="4" w:space="0"/>
                    <w:right w:val="single" w:color="auto" w:sz="4" w:space="0"/>
                  </w:tcBorders>
                  <w:shd w:val="clear" w:color="auto" w:fill="auto"/>
                  <w:vAlign w:val="center"/>
                </w:tcPr>
                <w:p w14:paraId="72833D0F">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30" w:type="dxa"/>
                  <w:vMerge w:val="restart"/>
                  <w:tcBorders>
                    <w:top w:val="single" w:color="auto" w:sz="4" w:space="0"/>
                    <w:left w:val="single" w:color="auto" w:sz="4" w:space="0"/>
                    <w:right w:val="single" w:color="auto" w:sz="4" w:space="0"/>
                  </w:tcBorders>
                  <w:shd w:val="clear" w:color="auto" w:fill="auto"/>
                  <w:vAlign w:val="center"/>
                </w:tcPr>
                <w:p w14:paraId="1C29303B">
                  <w:pPr>
                    <w:keepNext w:val="0"/>
                    <w:keepLines w:val="0"/>
                    <w:widowControl w:val="0"/>
                    <w:suppressLineNumbers w:val="0"/>
                    <w:autoSpaceDE w:val="0"/>
                    <w:autoSpaceDN/>
                    <w:spacing w:before="0" w:beforeAutospacing="0" w:after="0" w:afterAutospacing="0" w:line="320" w:lineRule="exact"/>
                    <w:ind w:left="0" w:right="-105" w:rightChars="-50"/>
                    <w:jc w:val="center"/>
                    <w:rPr>
                      <w:rFonts w:hint="default" w:eastAsia="宋体"/>
                      <w:color w:val="auto"/>
                      <w:sz w:val="18"/>
                      <w:szCs w:val="18"/>
                      <w:highlight w:val="none"/>
                      <w:lang w:val="en-US" w:eastAsia="zh-CN"/>
                    </w:rPr>
                  </w:pPr>
                  <w:r>
                    <w:rPr>
                      <w:rFonts w:hint="eastAsia"/>
                      <w:color w:val="auto"/>
                      <w:sz w:val="18"/>
                      <w:szCs w:val="18"/>
                      <w:highlight w:val="none"/>
                      <w:lang w:val="en-US" w:eastAsia="zh-CN"/>
                    </w:rPr>
                    <w:t>臭气浓度</w:t>
                  </w: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14:paraId="54B29572">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2022.12.31</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69C45776">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＜10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61920607">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＜10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0E13D869">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＜10</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0E8E5716">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＜10</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06FA5741">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14:paraId="6A6D5DE8">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w:t>
                  </w:r>
                </w:p>
              </w:tc>
            </w:tr>
            <w:tr w14:paraId="07B37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5" w:hRule="atLeast"/>
                <w:jc w:val="center"/>
              </w:trPr>
              <w:tc>
                <w:tcPr>
                  <w:tcW w:w="730" w:type="dxa"/>
                  <w:vMerge w:val="continue"/>
                  <w:tcBorders>
                    <w:left w:val="single" w:color="auto" w:sz="4" w:space="0"/>
                    <w:right w:val="single" w:color="auto" w:sz="4" w:space="0"/>
                  </w:tcBorders>
                  <w:shd w:val="clear" w:color="auto" w:fill="auto"/>
                  <w:vAlign w:val="center"/>
                </w:tcPr>
                <w:p w14:paraId="02F5370F">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30" w:type="dxa"/>
                  <w:vMerge w:val="continue"/>
                  <w:tcBorders>
                    <w:left w:val="single" w:color="auto" w:sz="4" w:space="0"/>
                    <w:right w:val="single" w:color="auto" w:sz="4" w:space="0"/>
                  </w:tcBorders>
                  <w:shd w:val="clear" w:color="auto" w:fill="auto"/>
                  <w:vAlign w:val="center"/>
                </w:tcPr>
                <w:p w14:paraId="1AAAC58C">
                  <w:pPr>
                    <w:keepNext w:val="0"/>
                    <w:keepLines w:val="0"/>
                    <w:widowControl w:val="0"/>
                    <w:suppressLineNumbers w:val="0"/>
                    <w:autoSpaceDE w:val="0"/>
                    <w:autoSpaceDN/>
                    <w:spacing w:before="0" w:beforeAutospacing="0" w:after="0" w:afterAutospacing="0" w:line="320" w:lineRule="exact"/>
                    <w:ind w:left="0" w:right="-105" w:rightChars="-50"/>
                    <w:jc w:val="center"/>
                    <w:rPr>
                      <w:rFonts w:hint="eastAsia"/>
                      <w:color w:val="auto"/>
                      <w:sz w:val="18"/>
                      <w:szCs w:val="18"/>
                      <w:highlight w:val="none"/>
                      <w:lang w:val="en-US" w:eastAsia="zh-CN"/>
                    </w:rPr>
                  </w:pP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14:paraId="532A8624">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2023.1.1</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26DBC2A0">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color w:val="auto"/>
                      <w:sz w:val="18"/>
                      <w:szCs w:val="18"/>
                      <w:highlight w:val="none"/>
                      <w:lang w:val="en-US"/>
                    </w:rPr>
                  </w:pPr>
                  <w:r>
                    <w:rPr>
                      <w:rFonts w:hint="eastAsia"/>
                      <w:color w:val="auto"/>
                      <w:sz w:val="18"/>
                      <w:szCs w:val="18"/>
                      <w:highlight w:val="none"/>
                      <w:lang w:val="en-US" w:eastAsia="zh-CN"/>
                    </w:rPr>
                    <w:t>＜10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38883124">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＜10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10F3F462">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＜10</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36CEE349">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＜10</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6347A00D">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14:paraId="47C21F01">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w:t>
                  </w:r>
                </w:p>
              </w:tc>
            </w:tr>
            <w:tr w14:paraId="44936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6" w:hRule="atLeast"/>
                <w:jc w:val="center"/>
              </w:trPr>
              <w:tc>
                <w:tcPr>
                  <w:tcW w:w="730" w:type="dxa"/>
                  <w:vMerge w:val="continue"/>
                  <w:tcBorders>
                    <w:left w:val="single" w:color="auto" w:sz="4" w:space="0"/>
                    <w:bottom w:val="single" w:color="auto" w:sz="4" w:space="0"/>
                    <w:right w:val="single" w:color="auto" w:sz="4" w:space="0"/>
                  </w:tcBorders>
                  <w:shd w:val="clear" w:color="auto" w:fill="auto"/>
                  <w:vAlign w:val="center"/>
                </w:tcPr>
                <w:p w14:paraId="23A1BABB">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730" w:type="dxa"/>
                  <w:vMerge w:val="continue"/>
                  <w:tcBorders>
                    <w:left w:val="single" w:color="auto" w:sz="4" w:space="0"/>
                    <w:bottom w:val="single" w:color="auto" w:sz="4" w:space="0"/>
                    <w:right w:val="single" w:color="auto" w:sz="4" w:space="0"/>
                  </w:tcBorders>
                  <w:shd w:val="clear" w:color="auto" w:fill="auto"/>
                  <w:vAlign w:val="center"/>
                </w:tcPr>
                <w:p w14:paraId="4F3261BB">
                  <w:pPr>
                    <w:keepNext w:val="0"/>
                    <w:keepLines w:val="0"/>
                    <w:widowControl w:val="0"/>
                    <w:suppressLineNumbers w:val="0"/>
                    <w:autoSpaceDE w:val="0"/>
                    <w:autoSpaceDN/>
                    <w:spacing w:before="0" w:beforeAutospacing="0" w:after="0" w:afterAutospacing="0" w:line="320" w:lineRule="exact"/>
                    <w:ind w:left="0" w:right="-105" w:rightChars="-50"/>
                    <w:jc w:val="center"/>
                    <w:rPr>
                      <w:rFonts w:hint="default"/>
                      <w:color w:val="auto"/>
                      <w:sz w:val="18"/>
                      <w:szCs w:val="18"/>
                      <w:highlight w:val="none"/>
                      <w:lang w:val="en-US"/>
                    </w:rPr>
                  </w:pPr>
                </w:p>
              </w:tc>
              <w:tc>
                <w:tcPr>
                  <w:tcW w:w="1026" w:type="dxa"/>
                  <w:tcBorders>
                    <w:top w:val="single" w:color="auto" w:sz="4" w:space="0"/>
                    <w:left w:val="single" w:color="auto" w:sz="4" w:space="0"/>
                    <w:bottom w:val="single" w:color="auto" w:sz="4" w:space="0"/>
                    <w:right w:val="single" w:color="auto" w:sz="4" w:space="0"/>
                  </w:tcBorders>
                  <w:shd w:val="clear" w:color="auto" w:fill="auto"/>
                  <w:vAlign w:val="center"/>
                </w:tcPr>
                <w:p w14:paraId="6082C15D">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2023.1.2</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30C12B1F">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color w:val="auto"/>
                      <w:sz w:val="18"/>
                      <w:szCs w:val="18"/>
                      <w:highlight w:val="none"/>
                      <w:lang w:val="en-US"/>
                    </w:rPr>
                  </w:pPr>
                  <w:r>
                    <w:rPr>
                      <w:rFonts w:hint="eastAsia"/>
                      <w:color w:val="auto"/>
                      <w:sz w:val="18"/>
                      <w:szCs w:val="18"/>
                      <w:highlight w:val="none"/>
                      <w:lang w:val="en-US" w:eastAsia="zh-CN"/>
                    </w:rPr>
                    <w:t>＜10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32C3D109">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＜10</w:t>
                  </w:r>
                </w:p>
              </w:tc>
              <w:tc>
                <w:tcPr>
                  <w:tcW w:w="933" w:type="dxa"/>
                  <w:tcBorders>
                    <w:top w:val="single" w:color="auto" w:sz="4" w:space="0"/>
                    <w:left w:val="single" w:color="auto" w:sz="4" w:space="0"/>
                    <w:bottom w:val="single" w:color="auto" w:sz="4" w:space="0"/>
                    <w:right w:val="single" w:color="auto" w:sz="4" w:space="0"/>
                  </w:tcBorders>
                  <w:shd w:val="clear" w:color="auto" w:fill="auto"/>
                  <w:vAlign w:val="center"/>
                </w:tcPr>
                <w:p w14:paraId="0F2421D7">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＜10</w:t>
                  </w:r>
                </w:p>
              </w:tc>
              <w:tc>
                <w:tcPr>
                  <w:tcW w:w="823" w:type="dxa"/>
                  <w:tcBorders>
                    <w:top w:val="single" w:color="auto" w:sz="4" w:space="0"/>
                    <w:left w:val="single" w:color="auto" w:sz="4" w:space="0"/>
                    <w:bottom w:val="single" w:color="auto" w:sz="4" w:space="0"/>
                    <w:right w:val="single" w:color="auto" w:sz="4" w:space="0"/>
                  </w:tcBorders>
                  <w:shd w:val="clear" w:color="auto" w:fill="auto"/>
                  <w:vAlign w:val="center"/>
                </w:tcPr>
                <w:p w14:paraId="6167216E">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eastAsia"/>
                      <w:color w:val="auto"/>
                      <w:sz w:val="18"/>
                      <w:szCs w:val="18"/>
                      <w:highlight w:val="none"/>
                      <w:lang w:val="en-US" w:eastAsia="zh-CN"/>
                    </w:rPr>
                    <w:t>＜10</w:t>
                  </w:r>
                </w:p>
              </w:tc>
              <w:tc>
                <w:tcPr>
                  <w:tcW w:w="968" w:type="dxa"/>
                  <w:tcBorders>
                    <w:top w:val="single" w:color="auto" w:sz="4" w:space="0"/>
                    <w:left w:val="single" w:color="auto" w:sz="4" w:space="0"/>
                    <w:bottom w:val="single" w:color="auto" w:sz="4" w:space="0"/>
                    <w:right w:val="single" w:color="auto" w:sz="4" w:space="0"/>
                  </w:tcBorders>
                  <w:shd w:val="clear" w:color="auto" w:fill="auto"/>
                  <w:vAlign w:val="center"/>
                </w:tcPr>
                <w:p w14:paraId="31879247">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w:t>
                  </w:r>
                </w:p>
              </w:tc>
              <w:tc>
                <w:tcPr>
                  <w:tcW w:w="862" w:type="dxa"/>
                  <w:tcBorders>
                    <w:top w:val="single" w:color="auto" w:sz="4" w:space="0"/>
                    <w:left w:val="single" w:color="auto" w:sz="4" w:space="0"/>
                    <w:bottom w:val="single" w:color="auto" w:sz="4" w:space="0"/>
                    <w:right w:val="single" w:color="auto" w:sz="4" w:space="0"/>
                  </w:tcBorders>
                  <w:shd w:val="clear" w:color="auto" w:fill="auto"/>
                  <w:vAlign w:val="center"/>
                </w:tcPr>
                <w:p w14:paraId="3DE6B611">
                  <w:pPr>
                    <w:keepNext w:val="0"/>
                    <w:keepLines w:val="0"/>
                    <w:widowControl/>
                    <w:suppressLineNumbers w:val="0"/>
                    <w:autoSpaceDE w:val="0"/>
                    <w:autoSpaceDN/>
                    <w:spacing w:before="0" w:beforeAutospacing="0" w:after="0" w:afterAutospacing="0" w:line="320" w:lineRule="exact"/>
                    <w:ind w:left="-105" w:leftChars="-50" w:right="-105" w:rightChars="-50"/>
                    <w:jc w:val="center"/>
                    <w:textAlignment w:val="center"/>
                    <w:rPr>
                      <w:rFonts w:hint="eastAsia" w:eastAsia="宋体"/>
                      <w:color w:val="auto"/>
                      <w:sz w:val="18"/>
                      <w:szCs w:val="18"/>
                      <w:highlight w:val="none"/>
                      <w:lang w:val="en-US" w:eastAsia="zh-CN"/>
                    </w:rPr>
                  </w:pPr>
                  <w:r>
                    <w:rPr>
                      <w:rFonts w:hint="eastAsia"/>
                      <w:color w:val="auto"/>
                      <w:sz w:val="18"/>
                      <w:szCs w:val="18"/>
                      <w:highlight w:val="none"/>
                      <w:lang w:val="en-US" w:eastAsia="zh-CN"/>
                    </w:rPr>
                    <w:t>/</w:t>
                  </w:r>
                </w:p>
              </w:tc>
            </w:tr>
          </w:tbl>
          <w:p w14:paraId="20895BA6">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ascii="Times New Roman" w:hAnsi="Times New Roman" w:eastAsia="宋体" w:cs="Times New Roman"/>
                <w:color w:val="auto"/>
                <w:szCs w:val="28"/>
                <w:lang w:val="en-US" w:eastAsia="zh-CN"/>
              </w:rPr>
            </w:pPr>
            <w:r>
              <w:rPr>
                <w:rFonts w:hint="eastAsia" w:ascii="Times New Roman" w:hAnsi="Times New Roman" w:cs="Times New Roman"/>
                <w:color w:val="auto"/>
                <w:szCs w:val="28"/>
                <w:lang w:val="zh-CN"/>
              </w:rPr>
              <w:t>根据</w:t>
            </w:r>
            <w:r>
              <w:rPr>
                <w:rFonts w:hint="eastAsia" w:cs="Times New Roman"/>
                <w:color w:val="auto"/>
                <w:szCs w:val="28"/>
                <w:lang w:val="en-US" w:eastAsia="zh-CN"/>
              </w:rPr>
              <w:t>上表监测结果分析，项目区特征因子环境空气质量本底值占标率均小于1。结果表明，项目区环境空气质量较好。</w:t>
            </w:r>
          </w:p>
          <w:p w14:paraId="56D3D2BB">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rPr>
            </w:pPr>
            <w:r>
              <w:rPr>
                <w:rFonts w:hint="eastAsia" w:eastAsia="黑体" w:cs="宋体"/>
                <w:color w:val="auto"/>
                <w:kern w:val="0"/>
              </w:rPr>
              <w:t>2</w:t>
            </w:r>
            <w:r>
              <w:rPr>
                <w:rFonts w:hint="default" w:eastAsia="黑体" w:cs="宋体"/>
                <w:color w:val="auto"/>
                <w:kern w:val="0"/>
              </w:rPr>
              <w:t>、</w:t>
            </w:r>
            <w:r>
              <w:rPr>
                <w:rFonts w:hint="eastAsia" w:eastAsia="黑体" w:cs="宋体"/>
                <w:color w:val="auto"/>
                <w:kern w:val="0"/>
              </w:rPr>
              <w:t>地表水环境质量现状及评价</w:t>
            </w:r>
          </w:p>
          <w:p w14:paraId="55E5A439">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szCs w:val="28"/>
                <w:lang w:val="zh-CN"/>
              </w:rPr>
            </w:pPr>
            <w:r>
              <w:rPr>
                <w:rFonts w:hint="eastAsia" w:ascii="Times New Roman" w:hAnsi="Times New Roman" w:cs="Times New Roman"/>
                <w:color w:val="auto"/>
                <w:szCs w:val="28"/>
                <w:lang w:val="zh-CN"/>
              </w:rPr>
              <w:t>根据《2022 年 11 月达州市地表水水质月报》：2022年</w:t>
            </w:r>
            <w:r>
              <w:rPr>
                <w:rFonts w:hint="eastAsia" w:ascii="Times New Roman" w:hAnsi="Times New Roman" w:cs="Times New Roman"/>
                <w:color w:val="auto"/>
                <w:szCs w:val="28"/>
                <w:lang w:val="en-US" w:eastAsia="zh-CN"/>
              </w:rPr>
              <w:t>11</w:t>
            </w:r>
            <w:r>
              <w:rPr>
                <w:rFonts w:hint="eastAsia" w:ascii="Times New Roman" w:hAnsi="Times New Roman" w:cs="Times New Roman"/>
                <w:color w:val="auto"/>
                <w:szCs w:val="28"/>
                <w:lang w:val="zh-CN"/>
              </w:rPr>
              <w:t>月全市</w:t>
            </w:r>
            <w:r>
              <w:rPr>
                <w:rFonts w:hint="eastAsia" w:ascii="Times New Roman" w:hAnsi="Times New Roman" w:cs="Times New Roman"/>
                <w:color w:val="auto"/>
                <w:szCs w:val="28"/>
                <w:lang w:val="en-US" w:eastAsia="zh-CN"/>
              </w:rPr>
              <w:t>35</w:t>
            </w:r>
            <w:r>
              <w:rPr>
                <w:rFonts w:hint="eastAsia" w:ascii="Times New Roman" w:hAnsi="Times New Roman" w:cs="Times New Roman"/>
                <w:color w:val="auto"/>
                <w:szCs w:val="28"/>
                <w:lang w:val="zh-CN"/>
              </w:rPr>
              <w:t>个河流断面中，优（Ⅰ~Ⅱ类）良（Ⅲ类）水质断面</w:t>
            </w:r>
            <w:r>
              <w:rPr>
                <w:rFonts w:hint="eastAsia" w:ascii="Times New Roman" w:hAnsi="Times New Roman" w:cs="Times New Roman"/>
                <w:color w:val="auto"/>
                <w:szCs w:val="28"/>
                <w:lang w:val="en-US" w:eastAsia="zh-CN"/>
              </w:rPr>
              <w:t>35</w:t>
            </w:r>
            <w:r>
              <w:rPr>
                <w:rFonts w:hint="eastAsia" w:ascii="Times New Roman" w:hAnsi="Times New Roman" w:cs="Times New Roman"/>
                <w:color w:val="auto"/>
                <w:szCs w:val="28"/>
                <w:lang w:val="zh-CN"/>
              </w:rPr>
              <w:t>个，占比100%。</w:t>
            </w:r>
          </w:p>
          <w:p w14:paraId="4FCD6F30">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szCs w:val="21"/>
              </w:rPr>
            </w:pPr>
            <w:r>
              <w:rPr>
                <w:rFonts w:hint="eastAsia"/>
                <w:color w:val="auto"/>
                <w:szCs w:val="28"/>
                <w:lang w:val="zh-CN"/>
              </w:rPr>
              <w:t>区域水质评价结果表如下。</w:t>
            </w:r>
          </w:p>
          <w:p w14:paraId="53014A97">
            <w:pPr>
              <w:keepNext w:val="0"/>
              <w:keepLines w:val="0"/>
              <w:suppressLineNumbers w:val="0"/>
              <w:spacing w:before="0" w:beforeAutospacing="0" w:after="0" w:afterAutospacing="0" w:line="400" w:lineRule="exact"/>
              <w:ind w:left="0" w:right="0"/>
              <w:jc w:val="center"/>
              <w:rPr>
                <w:rFonts w:hint="eastAsia" w:eastAsia="黑体"/>
                <w:color w:val="auto"/>
                <w:sz w:val="18"/>
                <w:szCs w:val="18"/>
              </w:rPr>
            </w:pPr>
          </w:p>
          <w:p w14:paraId="11DEBB8F">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eastAsia" w:eastAsia="黑体"/>
                <w:color w:val="auto"/>
                <w:sz w:val="18"/>
                <w:szCs w:val="18"/>
              </w:rPr>
              <w:t>表3-</w:t>
            </w:r>
            <w:r>
              <w:rPr>
                <w:rFonts w:hint="eastAsia" w:eastAsia="黑体"/>
                <w:color w:val="auto"/>
                <w:sz w:val="18"/>
                <w:szCs w:val="18"/>
                <w:lang w:val="en-US" w:eastAsia="zh-CN"/>
              </w:rPr>
              <w:t>2</w:t>
            </w:r>
            <w:r>
              <w:rPr>
                <w:rFonts w:hint="eastAsia" w:eastAsia="黑体"/>
                <w:color w:val="auto"/>
                <w:sz w:val="18"/>
                <w:szCs w:val="18"/>
              </w:rPr>
              <w:t xml:space="preserve"> </w:t>
            </w:r>
            <w:r>
              <w:rPr>
                <w:rFonts w:hint="default" w:eastAsia="黑体"/>
                <w:color w:val="auto"/>
                <w:sz w:val="18"/>
                <w:szCs w:val="18"/>
              </w:rPr>
              <w:t xml:space="preserve">  20</w:t>
            </w:r>
            <w:r>
              <w:rPr>
                <w:rFonts w:hint="eastAsia" w:eastAsia="黑体"/>
                <w:color w:val="auto"/>
                <w:sz w:val="18"/>
                <w:szCs w:val="18"/>
              </w:rPr>
              <w:t>22年</w:t>
            </w:r>
            <w:r>
              <w:rPr>
                <w:rFonts w:hint="eastAsia" w:eastAsia="黑体"/>
                <w:color w:val="auto"/>
                <w:sz w:val="18"/>
                <w:szCs w:val="18"/>
                <w:lang w:val="en-US" w:eastAsia="zh-CN"/>
              </w:rPr>
              <w:t>11</w:t>
            </w:r>
            <w:r>
              <w:rPr>
                <w:rFonts w:hint="eastAsia" w:eastAsia="黑体"/>
                <w:color w:val="auto"/>
                <w:sz w:val="18"/>
                <w:szCs w:val="18"/>
              </w:rPr>
              <w:t>月达州市河流水质评价结果表</w:t>
            </w:r>
          </w:p>
          <w:tbl>
            <w:tblPr>
              <w:tblStyle w:val="13"/>
              <w:tblW w:w="79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14"/>
              <w:gridCol w:w="461"/>
              <w:gridCol w:w="471"/>
              <w:gridCol w:w="802"/>
              <w:gridCol w:w="1561"/>
              <w:gridCol w:w="1180"/>
              <w:gridCol w:w="517"/>
              <w:gridCol w:w="612"/>
              <w:gridCol w:w="620"/>
              <w:gridCol w:w="1242"/>
            </w:tblGrid>
            <w:tr w14:paraId="546C8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3" w:hRule="atLeast"/>
                <w:jc w:val="center"/>
              </w:trPr>
              <w:tc>
                <w:tcPr>
                  <w:tcW w:w="514" w:type="dxa"/>
                  <w:tcBorders>
                    <w:top w:val="single" w:color="000000" w:sz="6" w:space="0"/>
                    <w:left w:val="single" w:color="000000" w:sz="6" w:space="0"/>
                    <w:bottom w:val="single" w:color="000000" w:sz="6" w:space="0"/>
                    <w:right w:val="single" w:color="000000" w:sz="6" w:space="0"/>
                  </w:tcBorders>
                  <w:vAlign w:val="center"/>
                </w:tcPr>
                <w:p w14:paraId="4CE73B3A">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序号</w:t>
                  </w:r>
                </w:p>
              </w:tc>
              <w:tc>
                <w:tcPr>
                  <w:tcW w:w="932" w:type="dxa"/>
                  <w:gridSpan w:val="2"/>
                  <w:tcBorders>
                    <w:top w:val="single" w:color="000000" w:sz="6" w:space="0"/>
                    <w:left w:val="single" w:color="000000" w:sz="6" w:space="0"/>
                    <w:bottom w:val="single" w:color="000000" w:sz="6" w:space="0"/>
                    <w:right w:val="single" w:color="000000" w:sz="6" w:space="0"/>
                  </w:tcBorders>
                  <w:vAlign w:val="center"/>
                </w:tcPr>
                <w:p w14:paraId="42F04A55">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河流</w:t>
                  </w:r>
                </w:p>
              </w:tc>
              <w:tc>
                <w:tcPr>
                  <w:tcW w:w="802" w:type="dxa"/>
                  <w:tcBorders>
                    <w:top w:val="single" w:color="000000" w:sz="6" w:space="0"/>
                    <w:left w:val="single" w:color="000000" w:sz="6" w:space="0"/>
                    <w:bottom w:val="single" w:color="000000" w:sz="6" w:space="0"/>
                    <w:right w:val="single" w:color="000000" w:sz="6" w:space="0"/>
                  </w:tcBorders>
                  <w:vAlign w:val="center"/>
                </w:tcPr>
                <w:p w14:paraId="30DB9962">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断面名称</w:t>
                  </w:r>
                </w:p>
              </w:tc>
              <w:tc>
                <w:tcPr>
                  <w:tcW w:w="1561" w:type="dxa"/>
                  <w:tcBorders>
                    <w:top w:val="single" w:color="000000" w:sz="6" w:space="0"/>
                    <w:left w:val="single" w:color="000000" w:sz="6" w:space="0"/>
                    <w:bottom w:val="single" w:color="000000" w:sz="6" w:space="0"/>
                    <w:right w:val="single" w:color="000000" w:sz="6" w:space="0"/>
                  </w:tcBorders>
                  <w:vAlign w:val="center"/>
                </w:tcPr>
                <w:p w14:paraId="001B6AB0">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断面属性</w:t>
                  </w:r>
                </w:p>
              </w:tc>
              <w:tc>
                <w:tcPr>
                  <w:tcW w:w="1180" w:type="dxa"/>
                  <w:tcBorders>
                    <w:top w:val="single" w:color="000000" w:sz="6" w:space="0"/>
                    <w:left w:val="single" w:color="000000" w:sz="6" w:space="0"/>
                    <w:bottom w:val="single" w:color="000000" w:sz="6" w:space="0"/>
                    <w:right w:val="single" w:color="000000" w:sz="6" w:space="0"/>
                  </w:tcBorders>
                  <w:vAlign w:val="center"/>
                </w:tcPr>
                <w:p w14:paraId="4603796F">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断面性质</w:t>
                  </w:r>
                </w:p>
              </w:tc>
              <w:tc>
                <w:tcPr>
                  <w:tcW w:w="517" w:type="dxa"/>
                  <w:tcBorders>
                    <w:top w:val="single" w:color="000000" w:sz="6" w:space="0"/>
                    <w:left w:val="single" w:color="000000" w:sz="6" w:space="0"/>
                    <w:bottom w:val="single" w:color="000000" w:sz="6" w:space="0"/>
                    <w:right w:val="single" w:color="000000" w:sz="6" w:space="0"/>
                  </w:tcBorders>
                  <w:vAlign w:val="center"/>
                </w:tcPr>
                <w:p w14:paraId="76B4879C">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上年</w:t>
                  </w:r>
                </w:p>
                <w:p w14:paraId="272C1E73">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同期</w:t>
                  </w:r>
                </w:p>
              </w:tc>
              <w:tc>
                <w:tcPr>
                  <w:tcW w:w="612" w:type="dxa"/>
                  <w:tcBorders>
                    <w:top w:val="single" w:color="000000" w:sz="6" w:space="0"/>
                    <w:left w:val="single" w:color="000000" w:sz="6" w:space="0"/>
                    <w:bottom w:val="single" w:color="000000" w:sz="6" w:space="0"/>
                    <w:right w:val="single" w:color="000000" w:sz="6" w:space="0"/>
                  </w:tcBorders>
                  <w:vAlign w:val="center"/>
                </w:tcPr>
                <w:p w14:paraId="54AF3D04">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上月</w:t>
                  </w:r>
                </w:p>
                <w:p w14:paraId="14987B2E">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类别</w:t>
                  </w:r>
                </w:p>
              </w:tc>
              <w:tc>
                <w:tcPr>
                  <w:tcW w:w="620" w:type="dxa"/>
                  <w:tcBorders>
                    <w:top w:val="single" w:color="000000" w:sz="6" w:space="0"/>
                    <w:left w:val="single" w:color="000000" w:sz="6" w:space="0"/>
                    <w:bottom w:val="single" w:color="000000" w:sz="6" w:space="0"/>
                    <w:right w:val="single" w:color="000000" w:sz="6" w:space="0"/>
                  </w:tcBorders>
                  <w:vAlign w:val="center"/>
                </w:tcPr>
                <w:p w14:paraId="16FE70E0">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本月</w:t>
                  </w:r>
                </w:p>
                <w:p w14:paraId="144E1835">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类别</w:t>
                  </w:r>
                </w:p>
              </w:tc>
              <w:tc>
                <w:tcPr>
                  <w:tcW w:w="1242" w:type="dxa"/>
                  <w:tcBorders>
                    <w:top w:val="single" w:color="000000" w:sz="6" w:space="0"/>
                    <w:left w:val="single" w:color="000000" w:sz="6" w:space="0"/>
                    <w:bottom w:val="single" w:color="000000" w:sz="6" w:space="0"/>
                    <w:right w:val="single" w:color="000000" w:sz="6" w:space="0"/>
                  </w:tcBorders>
                  <w:vAlign w:val="center"/>
                </w:tcPr>
                <w:p w14:paraId="7174CBB2">
                  <w:pPr>
                    <w:pStyle w:val="12"/>
                    <w:keepNext w:val="0"/>
                    <w:keepLines w:val="0"/>
                    <w:suppressLineNumbers w:val="0"/>
                    <w:spacing w:before="0" w:beforeAutospacing="0" w:after="0" w:afterAutospacing="0" w:line="280" w:lineRule="exact"/>
                    <w:ind w:left="0" w:right="0"/>
                    <w:jc w:val="center"/>
                    <w:rPr>
                      <w:rFonts w:hint="default" w:ascii="Times New Roman" w:hAnsi="Times New Roman"/>
                      <w:b/>
                      <w:bCs/>
                      <w:color w:val="auto"/>
                      <w:sz w:val="18"/>
                      <w:szCs w:val="18"/>
                    </w:rPr>
                  </w:pPr>
                  <w:r>
                    <w:rPr>
                      <w:rFonts w:hint="default"/>
                      <w:b/>
                      <w:bCs/>
                      <w:color w:val="auto"/>
                      <w:sz w:val="18"/>
                      <w:szCs w:val="18"/>
                    </w:rPr>
                    <w:t>主要污染指标（类别）</w:t>
                  </w:r>
                </w:p>
              </w:tc>
            </w:tr>
            <w:tr w14:paraId="7A305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4" w:hRule="atLeast"/>
                <w:jc w:val="center"/>
              </w:trPr>
              <w:tc>
                <w:tcPr>
                  <w:tcW w:w="514" w:type="dxa"/>
                  <w:tcBorders>
                    <w:top w:val="single" w:color="000000" w:sz="6" w:space="0"/>
                    <w:left w:val="single" w:color="000000" w:sz="6" w:space="0"/>
                    <w:bottom w:val="single" w:color="000000" w:sz="6" w:space="0"/>
                    <w:right w:val="single" w:color="000000" w:sz="6" w:space="0"/>
                  </w:tcBorders>
                  <w:vAlign w:val="center"/>
                </w:tcPr>
                <w:p w14:paraId="4490693C">
                  <w:pPr>
                    <w:pStyle w:val="12"/>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1</w:t>
                  </w:r>
                </w:p>
              </w:tc>
              <w:tc>
                <w:tcPr>
                  <w:tcW w:w="461" w:type="dxa"/>
                  <w:tcBorders>
                    <w:top w:val="nil"/>
                    <w:left w:val="single" w:color="000000" w:sz="6" w:space="0"/>
                    <w:bottom w:val="single" w:color="000000" w:sz="6" w:space="0"/>
                    <w:right w:val="single" w:color="000000" w:sz="6" w:space="0"/>
                  </w:tcBorders>
                  <w:vAlign w:val="center"/>
                </w:tcPr>
                <w:p w14:paraId="1BBA227E">
                  <w:pPr>
                    <w:pStyle w:val="12"/>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default"/>
                      <w:color w:val="auto"/>
                      <w:sz w:val="18"/>
                      <w:szCs w:val="18"/>
                    </w:rPr>
                    <w:t>州河水系</w:t>
                  </w:r>
                </w:p>
              </w:tc>
              <w:tc>
                <w:tcPr>
                  <w:tcW w:w="471" w:type="dxa"/>
                  <w:tcBorders>
                    <w:top w:val="nil"/>
                    <w:left w:val="single" w:color="000000" w:sz="6" w:space="0"/>
                    <w:bottom w:val="single" w:color="000000" w:sz="6" w:space="0"/>
                    <w:right w:val="single" w:color="000000" w:sz="6" w:space="0"/>
                  </w:tcBorders>
                  <w:vAlign w:val="center"/>
                </w:tcPr>
                <w:p w14:paraId="73457C6D">
                  <w:pPr>
                    <w:pStyle w:val="12"/>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eastAsia"/>
                      <w:color w:val="auto"/>
                      <w:sz w:val="18"/>
                      <w:szCs w:val="18"/>
                    </w:rPr>
                    <w:t>干流</w:t>
                  </w:r>
                </w:p>
              </w:tc>
              <w:tc>
                <w:tcPr>
                  <w:tcW w:w="802" w:type="dxa"/>
                  <w:tcBorders>
                    <w:top w:val="single" w:color="000000" w:sz="6" w:space="0"/>
                    <w:left w:val="single" w:color="000000" w:sz="6" w:space="0"/>
                    <w:bottom w:val="single" w:color="000000" w:sz="6" w:space="0"/>
                    <w:right w:val="single" w:color="000000" w:sz="6" w:space="0"/>
                  </w:tcBorders>
                  <w:vAlign w:val="center"/>
                </w:tcPr>
                <w:p w14:paraId="524C77C6">
                  <w:pPr>
                    <w:pStyle w:val="12"/>
                    <w:keepNext w:val="0"/>
                    <w:keepLines w:val="0"/>
                    <w:suppressLineNumbers w:val="0"/>
                    <w:spacing w:before="0" w:beforeAutospacing="0" w:after="0" w:afterAutospacing="0" w:line="280" w:lineRule="exact"/>
                    <w:ind w:left="0" w:right="0"/>
                    <w:jc w:val="center"/>
                    <w:rPr>
                      <w:rFonts w:hint="default" w:ascii="Times New Roman" w:hAnsi="Times New Roman" w:eastAsia="宋体" w:cstheme="minorBidi"/>
                      <w:b/>
                      <w:color w:val="auto"/>
                      <w:kern w:val="2"/>
                      <w:sz w:val="18"/>
                      <w:szCs w:val="18"/>
                      <w:lang w:val="en-US" w:eastAsia="zh-CN" w:bidi="ar-SA"/>
                    </w:rPr>
                  </w:pPr>
                  <w:r>
                    <w:rPr>
                      <w:rFonts w:hint="eastAsia"/>
                      <w:b/>
                      <w:color w:val="auto"/>
                      <w:sz w:val="18"/>
                      <w:szCs w:val="18"/>
                    </w:rPr>
                    <w:t>车家河</w:t>
                  </w:r>
                </w:p>
              </w:tc>
              <w:tc>
                <w:tcPr>
                  <w:tcW w:w="1561" w:type="dxa"/>
                  <w:tcBorders>
                    <w:top w:val="single" w:color="000000" w:sz="6" w:space="0"/>
                    <w:left w:val="single" w:color="000000" w:sz="6" w:space="0"/>
                    <w:bottom w:val="single" w:color="000000" w:sz="6" w:space="0"/>
                    <w:right w:val="single" w:color="000000" w:sz="6" w:space="0"/>
                  </w:tcBorders>
                  <w:vAlign w:val="center"/>
                </w:tcPr>
                <w:p w14:paraId="4F5D03DD">
                  <w:pPr>
                    <w:pStyle w:val="12"/>
                    <w:keepNext w:val="0"/>
                    <w:keepLines w:val="0"/>
                    <w:suppressLineNumbers w:val="0"/>
                    <w:spacing w:before="0" w:beforeAutospacing="0" w:after="0" w:afterAutospacing="0" w:line="280" w:lineRule="exact"/>
                    <w:ind w:left="0" w:right="0"/>
                    <w:jc w:val="center"/>
                    <w:rPr>
                      <w:rFonts w:hint="default" w:ascii="Times New Roman" w:hAnsi="Times New Roman" w:eastAsia="宋体" w:cstheme="minorBidi"/>
                      <w:b/>
                      <w:color w:val="auto"/>
                      <w:kern w:val="2"/>
                      <w:sz w:val="18"/>
                      <w:szCs w:val="18"/>
                      <w:lang w:val="en-US" w:eastAsia="zh-CN" w:bidi="ar-SA"/>
                    </w:rPr>
                  </w:pPr>
                  <w:r>
                    <w:rPr>
                      <w:rFonts w:hint="eastAsia"/>
                      <w:b/>
                      <w:color w:val="auto"/>
                      <w:sz w:val="18"/>
                      <w:szCs w:val="18"/>
                    </w:rPr>
                    <w:t>市城区</w:t>
                  </w:r>
                </w:p>
              </w:tc>
              <w:tc>
                <w:tcPr>
                  <w:tcW w:w="1180" w:type="dxa"/>
                  <w:tcBorders>
                    <w:top w:val="single" w:color="000000" w:sz="6" w:space="0"/>
                    <w:left w:val="single" w:color="000000" w:sz="6" w:space="0"/>
                    <w:bottom w:val="single" w:color="000000" w:sz="6" w:space="0"/>
                    <w:right w:val="single" w:color="000000" w:sz="6" w:space="0"/>
                  </w:tcBorders>
                  <w:vAlign w:val="center"/>
                </w:tcPr>
                <w:p w14:paraId="5B06B121">
                  <w:pPr>
                    <w:pStyle w:val="12"/>
                    <w:keepNext w:val="0"/>
                    <w:keepLines w:val="0"/>
                    <w:suppressLineNumbers w:val="0"/>
                    <w:spacing w:before="0" w:beforeAutospacing="0" w:after="0" w:afterAutospacing="0" w:line="280" w:lineRule="exact"/>
                    <w:ind w:left="0" w:right="0"/>
                    <w:jc w:val="center"/>
                    <w:rPr>
                      <w:rFonts w:hint="default" w:ascii="Times New Roman" w:hAnsi="Times New Roman" w:eastAsia="宋体" w:cstheme="minorBidi"/>
                      <w:b/>
                      <w:color w:val="auto"/>
                      <w:kern w:val="2"/>
                      <w:sz w:val="18"/>
                      <w:szCs w:val="18"/>
                      <w:lang w:val="en-US" w:eastAsia="zh-CN" w:bidi="ar-SA"/>
                    </w:rPr>
                  </w:pPr>
                  <w:r>
                    <w:rPr>
                      <w:rFonts w:hint="eastAsia"/>
                      <w:b/>
                      <w:color w:val="auto"/>
                      <w:sz w:val="18"/>
                      <w:szCs w:val="18"/>
                    </w:rPr>
                    <w:t>国考</w:t>
                  </w:r>
                </w:p>
              </w:tc>
              <w:tc>
                <w:tcPr>
                  <w:tcW w:w="517" w:type="dxa"/>
                  <w:tcBorders>
                    <w:top w:val="single" w:color="000000" w:sz="6" w:space="0"/>
                    <w:left w:val="single" w:color="000000" w:sz="6" w:space="0"/>
                    <w:bottom w:val="single" w:color="000000" w:sz="6" w:space="0"/>
                    <w:right w:val="single" w:color="000000" w:sz="6" w:space="0"/>
                  </w:tcBorders>
                  <w:vAlign w:val="center"/>
                </w:tcPr>
                <w:p w14:paraId="30E260D1">
                  <w:pPr>
                    <w:pStyle w:val="12"/>
                    <w:keepNext w:val="0"/>
                    <w:keepLines w:val="0"/>
                    <w:suppressLineNumbers w:val="0"/>
                    <w:spacing w:before="0" w:beforeAutospacing="0" w:after="0" w:afterAutospacing="0" w:line="280" w:lineRule="exact"/>
                    <w:ind w:left="0" w:right="0"/>
                    <w:jc w:val="center"/>
                    <w:rPr>
                      <w:rFonts w:hint="default" w:ascii="Times New Roman" w:hAnsi="Times New Roman" w:eastAsia="宋体" w:cstheme="minorBidi"/>
                      <w:b/>
                      <w:color w:val="auto"/>
                      <w:kern w:val="2"/>
                      <w:sz w:val="18"/>
                      <w:szCs w:val="18"/>
                      <w:lang w:val="en-US" w:eastAsia="zh-CN" w:bidi="ar-SA"/>
                    </w:rPr>
                  </w:pPr>
                  <w:r>
                    <w:rPr>
                      <w:rFonts w:hint="eastAsia" w:ascii="Times New Roman" w:hAnsi="Times New Roman"/>
                      <w:b/>
                      <w:color w:val="auto"/>
                      <w:sz w:val="18"/>
                      <w:szCs w:val="18"/>
                    </w:rPr>
                    <w:t>II</w:t>
                  </w:r>
                </w:p>
              </w:tc>
              <w:tc>
                <w:tcPr>
                  <w:tcW w:w="612" w:type="dxa"/>
                  <w:tcBorders>
                    <w:top w:val="single" w:color="000000" w:sz="6" w:space="0"/>
                    <w:left w:val="single" w:color="000000" w:sz="6" w:space="0"/>
                    <w:bottom w:val="single" w:color="000000" w:sz="6" w:space="0"/>
                    <w:right w:val="single" w:color="000000" w:sz="6" w:space="0"/>
                  </w:tcBorders>
                  <w:vAlign w:val="center"/>
                </w:tcPr>
                <w:p w14:paraId="56E15CFE">
                  <w:pPr>
                    <w:pStyle w:val="12"/>
                    <w:keepNext w:val="0"/>
                    <w:keepLines w:val="0"/>
                    <w:suppressLineNumbers w:val="0"/>
                    <w:spacing w:before="0" w:beforeAutospacing="0" w:after="0" w:afterAutospacing="0" w:line="280" w:lineRule="exact"/>
                    <w:ind w:left="0" w:right="0"/>
                    <w:jc w:val="center"/>
                    <w:rPr>
                      <w:rFonts w:hint="default" w:ascii="Times New Roman" w:hAnsi="Times New Roman" w:eastAsia="宋体" w:cstheme="minorBidi"/>
                      <w:b/>
                      <w:color w:val="auto"/>
                      <w:kern w:val="2"/>
                      <w:sz w:val="18"/>
                      <w:szCs w:val="18"/>
                      <w:lang w:val="en-US" w:eastAsia="zh-CN" w:bidi="ar-SA"/>
                    </w:rPr>
                  </w:pPr>
                  <w:r>
                    <w:rPr>
                      <w:rFonts w:hint="eastAsia" w:ascii="Times New Roman" w:hAnsi="Times New Roman"/>
                      <w:b/>
                      <w:color w:val="auto"/>
                      <w:sz w:val="18"/>
                      <w:szCs w:val="18"/>
                    </w:rPr>
                    <w:t>II</w:t>
                  </w:r>
                </w:p>
              </w:tc>
              <w:tc>
                <w:tcPr>
                  <w:tcW w:w="620" w:type="dxa"/>
                  <w:tcBorders>
                    <w:top w:val="single" w:color="000000" w:sz="6" w:space="0"/>
                    <w:left w:val="single" w:color="000000" w:sz="6" w:space="0"/>
                    <w:bottom w:val="single" w:color="000000" w:sz="6" w:space="0"/>
                    <w:right w:val="single" w:color="000000" w:sz="6" w:space="0"/>
                  </w:tcBorders>
                  <w:vAlign w:val="center"/>
                </w:tcPr>
                <w:p w14:paraId="43AD6C7F">
                  <w:pPr>
                    <w:pStyle w:val="12"/>
                    <w:keepNext w:val="0"/>
                    <w:keepLines w:val="0"/>
                    <w:suppressLineNumbers w:val="0"/>
                    <w:spacing w:before="0" w:beforeAutospacing="0" w:after="0" w:afterAutospacing="0" w:line="280" w:lineRule="exact"/>
                    <w:ind w:left="0" w:right="0"/>
                    <w:jc w:val="center"/>
                    <w:rPr>
                      <w:rFonts w:hint="default" w:ascii="Times New Roman" w:hAnsi="Times New Roman" w:eastAsia="宋体" w:cstheme="minorBidi"/>
                      <w:b/>
                      <w:color w:val="auto"/>
                      <w:kern w:val="2"/>
                      <w:sz w:val="18"/>
                      <w:szCs w:val="18"/>
                      <w:lang w:val="en-US" w:eastAsia="zh-CN" w:bidi="ar-SA"/>
                    </w:rPr>
                  </w:pPr>
                  <w:r>
                    <w:rPr>
                      <w:rFonts w:hint="eastAsia" w:ascii="Times New Roman" w:hAnsi="Times New Roman"/>
                      <w:b/>
                      <w:color w:val="auto"/>
                      <w:sz w:val="18"/>
                      <w:szCs w:val="18"/>
                    </w:rPr>
                    <w:t>II</w:t>
                  </w:r>
                </w:p>
              </w:tc>
              <w:tc>
                <w:tcPr>
                  <w:tcW w:w="1242" w:type="dxa"/>
                  <w:tcBorders>
                    <w:top w:val="single" w:color="000000" w:sz="6" w:space="0"/>
                    <w:left w:val="single" w:color="000000" w:sz="6" w:space="0"/>
                    <w:bottom w:val="single" w:color="000000" w:sz="6" w:space="0"/>
                    <w:right w:val="single" w:color="000000" w:sz="6" w:space="0"/>
                  </w:tcBorders>
                  <w:vAlign w:val="center"/>
                </w:tcPr>
                <w:p w14:paraId="0B910905">
                  <w:pPr>
                    <w:pStyle w:val="12"/>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w:t>
                  </w:r>
                </w:p>
              </w:tc>
            </w:tr>
          </w:tbl>
          <w:p w14:paraId="6F0EE3F5">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szCs w:val="28"/>
                <w:lang w:val="zh-CN"/>
              </w:rPr>
            </w:pPr>
            <w:r>
              <w:rPr>
                <w:rFonts w:hint="eastAsia"/>
                <w:color w:val="auto"/>
                <w:szCs w:val="28"/>
                <w:lang w:val="zh-CN"/>
              </w:rPr>
              <w:t>本项目评价区域的地表水体为州河，与项目区相距较近的监测断面为州河车家河断面。根据上表例行监测数据表明：项目区域地表水体州河的车家河监测断面的水质能够满足《地表水环境质量标准》（</w:t>
            </w:r>
            <w:r>
              <w:rPr>
                <w:rFonts w:hint="default"/>
                <w:color w:val="auto"/>
                <w:szCs w:val="28"/>
                <w:lang w:val="zh-CN"/>
              </w:rPr>
              <w:t>GB3838-2002</w:t>
            </w:r>
            <w:r>
              <w:rPr>
                <w:rFonts w:hint="eastAsia"/>
                <w:color w:val="auto"/>
                <w:szCs w:val="28"/>
                <w:lang w:val="zh-CN"/>
              </w:rPr>
              <w:t>）Ⅲ类水域水质标准。</w:t>
            </w:r>
          </w:p>
          <w:p w14:paraId="4A804122">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rPr>
            </w:pPr>
            <w:r>
              <w:rPr>
                <w:rFonts w:hint="eastAsia" w:eastAsia="黑体" w:cs="宋体"/>
                <w:color w:val="auto"/>
                <w:kern w:val="0"/>
              </w:rPr>
              <w:t>3</w:t>
            </w:r>
            <w:r>
              <w:rPr>
                <w:rFonts w:hint="default" w:eastAsia="黑体" w:cs="宋体"/>
                <w:color w:val="auto"/>
                <w:kern w:val="0"/>
              </w:rPr>
              <w:t>、声环境质量现状监测及评价</w:t>
            </w:r>
          </w:p>
          <w:p w14:paraId="364F6FA2">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s="宋体"/>
                <w:color w:val="auto"/>
                <w:kern w:val="0"/>
                <w:sz w:val="24"/>
                <w:szCs w:val="21"/>
              </w:rPr>
            </w:pPr>
            <w:r>
              <w:rPr>
                <w:rFonts w:hint="default" w:cs="宋体"/>
                <w:color w:val="auto"/>
                <w:kern w:val="0"/>
                <w:szCs w:val="21"/>
              </w:rPr>
              <w:t>四川融华环境检测有限公司于</w:t>
            </w:r>
            <w:r>
              <w:rPr>
                <w:rFonts w:hint="eastAsia"/>
                <w:color w:val="auto"/>
                <w:szCs w:val="28"/>
                <w:lang w:val="zh-CN"/>
              </w:rPr>
              <w:t>202</w:t>
            </w:r>
            <w:r>
              <w:rPr>
                <w:rFonts w:hint="eastAsia"/>
                <w:color w:val="auto"/>
                <w:szCs w:val="28"/>
                <w:lang w:val="en-US" w:eastAsia="zh-CN"/>
              </w:rPr>
              <w:t>2</w:t>
            </w:r>
            <w:r>
              <w:rPr>
                <w:rFonts w:hint="eastAsia"/>
                <w:color w:val="auto"/>
                <w:szCs w:val="28"/>
                <w:lang w:val="zh-CN"/>
              </w:rPr>
              <w:t>年</w:t>
            </w:r>
            <w:r>
              <w:rPr>
                <w:rFonts w:hint="eastAsia"/>
                <w:color w:val="auto"/>
                <w:szCs w:val="28"/>
                <w:lang w:val="en-US" w:eastAsia="zh-CN"/>
              </w:rPr>
              <w:t>12</w:t>
            </w:r>
            <w:r>
              <w:rPr>
                <w:rFonts w:hint="eastAsia"/>
                <w:color w:val="auto"/>
                <w:szCs w:val="28"/>
                <w:lang w:val="zh-CN"/>
              </w:rPr>
              <w:t>月</w:t>
            </w:r>
            <w:r>
              <w:rPr>
                <w:rFonts w:hint="eastAsia"/>
                <w:color w:val="auto"/>
                <w:szCs w:val="28"/>
                <w:lang w:val="en-US" w:eastAsia="zh-CN"/>
              </w:rPr>
              <w:t>30</w:t>
            </w:r>
            <w:r>
              <w:rPr>
                <w:rFonts w:hint="eastAsia"/>
                <w:color w:val="auto"/>
                <w:szCs w:val="28"/>
                <w:lang w:val="zh-CN"/>
              </w:rPr>
              <w:t>日，</w:t>
            </w:r>
            <w:r>
              <w:rPr>
                <w:rFonts w:hint="default" w:cs="宋体"/>
                <w:color w:val="auto"/>
                <w:kern w:val="0"/>
                <w:szCs w:val="21"/>
              </w:rPr>
              <w:t>在项目区设有</w:t>
            </w:r>
            <w:r>
              <w:rPr>
                <w:rFonts w:hint="eastAsia" w:cs="宋体"/>
                <w:color w:val="auto"/>
                <w:kern w:val="0"/>
                <w:szCs w:val="21"/>
                <w:lang w:val="en-US" w:eastAsia="zh-CN"/>
              </w:rPr>
              <w:t>3</w:t>
            </w:r>
            <w:r>
              <w:rPr>
                <w:rFonts w:hint="default" w:cs="宋体"/>
                <w:color w:val="auto"/>
                <w:kern w:val="0"/>
                <w:szCs w:val="21"/>
              </w:rPr>
              <w:t>个环境噪声监测点位，将监测结果与评价标准进行对照，得出评价结果如下表。</w:t>
            </w:r>
          </w:p>
          <w:p w14:paraId="2B655E78">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3-</w:t>
            </w:r>
            <w:r>
              <w:rPr>
                <w:rFonts w:hint="eastAsia" w:eastAsia="黑体"/>
                <w:color w:val="auto"/>
                <w:sz w:val="18"/>
                <w:szCs w:val="18"/>
                <w:lang w:val="en-US" w:eastAsia="zh-CN"/>
              </w:rPr>
              <w:t>3</w:t>
            </w:r>
            <w:r>
              <w:rPr>
                <w:rFonts w:hint="eastAsia" w:eastAsia="黑体"/>
                <w:color w:val="auto"/>
                <w:sz w:val="18"/>
                <w:szCs w:val="18"/>
              </w:rPr>
              <w:t xml:space="preserve">    </w:t>
            </w:r>
            <w:r>
              <w:rPr>
                <w:rFonts w:hint="default" w:eastAsia="黑体"/>
                <w:color w:val="auto"/>
                <w:sz w:val="18"/>
                <w:szCs w:val="18"/>
              </w:rPr>
              <w:t>噪声</w:t>
            </w:r>
            <w:r>
              <w:rPr>
                <w:rFonts w:hint="eastAsia" w:eastAsia="黑体"/>
                <w:color w:val="auto"/>
                <w:sz w:val="18"/>
                <w:szCs w:val="18"/>
              </w:rPr>
              <w:t>环境</w:t>
            </w:r>
            <w:r>
              <w:rPr>
                <w:rFonts w:hint="default" w:eastAsia="黑体"/>
                <w:color w:val="auto"/>
                <w:sz w:val="18"/>
                <w:szCs w:val="18"/>
              </w:rPr>
              <w:t>现状评价结果  单位：dB(A)</w:t>
            </w:r>
          </w:p>
          <w:tbl>
            <w:tblPr>
              <w:tblStyle w:val="13"/>
              <w:tblW w:w="7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8"/>
              <w:gridCol w:w="1133"/>
              <w:gridCol w:w="707"/>
              <w:gridCol w:w="772"/>
              <w:gridCol w:w="644"/>
              <w:gridCol w:w="708"/>
              <w:gridCol w:w="707"/>
              <w:gridCol w:w="698"/>
            </w:tblGrid>
            <w:tr w14:paraId="7DB75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2408" w:type="dxa"/>
                  <w:vMerge w:val="restart"/>
                  <w:vAlign w:val="center"/>
                </w:tcPr>
                <w:p w14:paraId="06D381CE">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监测点位</w:t>
                  </w:r>
                </w:p>
              </w:tc>
              <w:tc>
                <w:tcPr>
                  <w:tcW w:w="1133" w:type="dxa"/>
                  <w:vMerge w:val="restart"/>
                  <w:vAlign w:val="center"/>
                </w:tcPr>
                <w:p w14:paraId="3B59FC44">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监测时间</w:t>
                  </w:r>
                </w:p>
              </w:tc>
              <w:tc>
                <w:tcPr>
                  <w:tcW w:w="1479" w:type="dxa"/>
                  <w:gridSpan w:val="2"/>
                  <w:vAlign w:val="center"/>
                </w:tcPr>
                <w:p w14:paraId="569AE610">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监测结果</w:t>
                  </w:r>
                </w:p>
              </w:tc>
              <w:tc>
                <w:tcPr>
                  <w:tcW w:w="1352" w:type="dxa"/>
                  <w:gridSpan w:val="2"/>
                  <w:vAlign w:val="center"/>
                </w:tcPr>
                <w:p w14:paraId="7BA53892">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评价标准</w:t>
                  </w:r>
                </w:p>
              </w:tc>
              <w:tc>
                <w:tcPr>
                  <w:tcW w:w="1405" w:type="dxa"/>
                  <w:gridSpan w:val="2"/>
                  <w:vAlign w:val="center"/>
                </w:tcPr>
                <w:p w14:paraId="5821CA1B">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评价结果</w:t>
                  </w:r>
                </w:p>
              </w:tc>
            </w:tr>
            <w:tr w14:paraId="5812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2408" w:type="dxa"/>
                  <w:vMerge w:val="continue"/>
                  <w:vAlign w:val="center"/>
                </w:tcPr>
                <w:p w14:paraId="5FE9CADA">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p>
              </w:tc>
              <w:tc>
                <w:tcPr>
                  <w:tcW w:w="1133" w:type="dxa"/>
                  <w:vMerge w:val="continue"/>
                  <w:vAlign w:val="center"/>
                </w:tcPr>
                <w:p w14:paraId="22E7F30B">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p>
              </w:tc>
              <w:tc>
                <w:tcPr>
                  <w:tcW w:w="707" w:type="dxa"/>
                  <w:vAlign w:val="center"/>
                </w:tcPr>
                <w:p w14:paraId="460A6879">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昼间</w:t>
                  </w:r>
                </w:p>
              </w:tc>
              <w:tc>
                <w:tcPr>
                  <w:tcW w:w="772" w:type="dxa"/>
                  <w:vAlign w:val="center"/>
                </w:tcPr>
                <w:p w14:paraId="335935FD">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夜间</w:t>
                  </w:r>
                </w:p>
              </w:tc>
              <w:tc>
                <w:tcPr>
                  <w:tcW w:w="644" w:type="dxa"/>
                  <w:vAlign w:val="center"/>
                </w:tcPr>
                <w:p w14:paraId="640CD49C">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昼间</w:t>
                  </w:r>
                </w:p>
              </w:tc>
              <w:tc>
                <w:tcPr>
                  <w:tcW w:w="708" w:type="dxa"/>
                  <w:vAlign w:val="center"/>
                </w:tcPr>
                <w:p w14:paraId="1676494F">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夜间</w:t>
                  </w:r>
                </w:p>
              </w:tc>
              <w:tc>
                <w:tcPr>
                  <w:tcW w:w="707" w:type="dxa"/>
                  <w:vAlign w:val="center"/>
                </w:tcPr>
                <w:p w14:paraId="51017D06">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昼间</w:t>
                  </w:r>
                </w:p>
              </w:tc>
              <w:tc>
                <w:tcPr>
                  <w:tcW w:w="698" w:type="dxa"/>
                  <w:vAlign w:val="center"/>
                </w:tcPr>
                <w:p w14:paraId="0D9DC8D5">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夜间</w:t>
                  </w:r>
                </w:p>
              </w:tc>
            </w:tr>
            <w:tr w14:paraId="2F96C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2408" w:type="dxa"/>
                  <w:vAlign w:val="center"/>
                </w:tcPr>
                <w:p w14:paraId="679BB160">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1#（项目东</w:t>
                  </w:r>
                  <w:r>
                    <w:rPr>
                      <w:rFonts w:hint="eastAsia"/>
                      <w:color w:val="auto"/>
                      <w:kern w:val="0"/>
                      <w:sz w:val="18"/>
                      <w:szCs w:val="18"/>
                      <w:lang w:val="en-US" w:eastAsia="zh-CN"/>
                    </w:rPr>
                    <w:t>场</w:t>
                  </w:r>
                  <w:r>
                    <w:rPr>
                      <w:rFonts w:hint="default"/>
                      <w:color w:val="auto"/>
                      <w:kern w:val="0"/>
                      <w:sz w:val="18"/>
                      <w:szCs w:val="18"/>
                    </w:rPr>
                    <w:t>界）</w:t>
                  </w:r>
                </w:p>
              </w:tc>
              <w:tc>
                <w:tcPr>
                  <w:tcW w:w="1133" w:type="dxa"/>
                  <w:vAlign w:val="center"/>
                </w:tcPr>
                <w:p w14:paraId="5049E613">
                  <w:pPr>
                    <w:keepNext w:val="0"/>
                    <w:keepLines w:val="0"/>
                    <w:suppressLineNumbers w:val="0"/>
                    <w:spacing w:before="0" w:beforeAutospacing="0" w:after="0" w:afterAutospacing="0" w:line="320" w:lineRule="exact"/>
                    <w:ind w:left="0" w:right="0"/>
                    <w:jc w:val="center"/>
                    <w:rPr>
                      <w:rFonts w:hint="default" w:eastAsia="宋体"/>
                      <w:color w:val="auto"/>
                      <w:sz w:val="18"/>
                      <w:szCs w:val="18"/>
                      <w:lang w:val="en-US" w:eastAsia="zh-CN"/>
                    </w:rPr>
                  </w:pPr>
                  <w:r>
                    <w:rPr>
                      <w:rFonts w:hint="eastAsia"/>
                      <w:color w:val="auto"/>
                      <w:sz w:val="18"/>
                      <w:szCs w:val="18"/>
                      <w:lang w:val="en-US" w:eastAsia="zh-CN"/>
                    </w:rPr>
                    <w:t>2022.12.30</w:t>
                  </w:r>
                </w:p>
              </w:tc>
              <w:tc>
                <w:tcPr>
                  <w:tcW w:w="707" w:type="dxa"/>
                  <w:vAlign w:val="bottom"/>
                </w:tcPr>
                <w:p w14:paraId="15D770C7">
                  <w:pPr>
                    <w:keepNext w:val="0"/>
                    <w:keepLines w:val="0"/>
                    <w:suppressLineNumbers w:val="0"/>
                    <w:spacing w:before="0" w:beforeAutospacing="0" w:after="0" w:afterAutospacing="0" w:line="320" w:lineRule="exact"/>
                    <w:ind w:left="0" w:right="0"/>
                    <w:jc w:val="center"/>
                    <w:rPr>
                      <w:rFonts w:hint="default" w:eastAsia="宋体"/>
                      <w:color w:val="auto"/>
                      <w:sz w:val="18"/>
                      <w:szCs w:val="18"/>
                      <w:lang w:val="en-US" w:eastAsia="zh-CN"/>
                    </w:rPr>
                  </w:pPr>
                  <w:r>
                    <w:rPr>
                      <w:rFonts w:hint="eastAsia"/>
                      <w:color w:val="auto"/>
                      <w:sz w:val="18"/>
                      <w:szCs w:val="18"/>
                      <w:lang w:val="en-US" w:eastAsia="zh-CN"/>
                    </w:rPr>
                    <w:t>56.2</w:t>
                  </w:r>
                </w:p>
              </w:tc>
              <w:tc>
                <w:tcPr>
                  <w:tcW w:w="772" w:type="dxa"/>
                  <w:vAlign w:val="bottom"/>
                </w:tcPr>
                <w:p w14:paraId="653DA6F8">
                  <w:pPr>
                    <w:keepNext w:val="0"/>
                    <w:keepLines w:val="0"/>
                    <w:suppressLineNumbers w:val="0"/>
                    <w:spacing w:before="0" w:beforeAutospacing="0" w:after="0" w:afterAutospacing="0" w:line="320" w:lineRule="exact"/>
                    <w:ind w:left="0" w:right="0"/>
                    <w:jc w:val="center"/>
                    <w:rPr>
                      <w:rFonts w:hint="default" w:eastAsia="宋体"/>
                      <w:color w:val="auto"/>
                      <w:sz w:val="18"/>
                      <w:szCs w:val="18"/>
                      <w:lang w:val="en-US" w:eastAsia="zh-CN"/>
                    </w:rPr>
                  </w:pPr>
                  <w:r>
                    <w:rPr>
                      <w:rFonts w:hint="eastAsia"/>
                      <w:color w:val="auto"/>
                      <w:sz w:val="18"/>
                      <w:szCs w:val="18"/>
                      <w:lang w:val="en-US" w:eastAsia="zh-CN"/>
                    </w:rPr>
                    <w:t>48.2</w:t>
                  </w:r>
                </w:p>
              </w:tc>
              <w:tc>
                <w:tcPr>
                  <w:tcW w:w="644" w:type="dxa"/>
                  <w:vAlign w:val="center"/>
                </w:tcPr>
                <w:p w14:paraId="747D8B4B">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eastAsia"/>
                      <w:color w:val="auto"/>
                      <w:kern w:val="0"/>
                      <w:sz w:val="18"/>
                      <w:szCs w:val="18"/>
                    </w:rPr>
                    <w:t>60</w:t>
                  </w:r>
                </w:p>
              </w:tc>
              <w:tc>
                <w:tcPr>
                  <w:tcW w:w="708" w:type="dxa"/>
                  <w:vAlign w:val="center"/>
                </w:tcPr>
                <w:p w14:paraId="2833F699">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eastAsia"/>
                      <w:color w:val="auto"/>
                      <w:kern w:val="0"/>
                      <w:sz w:val="18"/>
                      <w:szCs w:val="18"/>
                    </w:rPr>
                    <w:t>50</w:t>
                  </w:r>
                </w:p>
              </w:tc>
              <w:tc>
                <w:tcPr>
                  <w:tcW w:w="707" w:type="dxa"/>
                  <w:vAlign w:val="center"/>
                </w:tcPr>
                <w:p w14:paraId="2B5E3FEB">
                  <w:pPr>
                    <w:keepNext w:val="0"/>
                    <w:keepLines w:val="0"/>
                    <w:suppressLineNumbers w:val="0"/>
                    <w:spacing w:before="0" w:beforeAutospacing="0" w:after="0" w:afterAutospacing="0" w:line="320" w:lineRule="exact"/>
                    <w:ind w:left="0" w:right="0"/>
                    <w:jc w:val="center"/>
                    <w:rPr>
                      <w:rFonts w:hint="default"/>
                      <w:color w:val="auto"/>
                      <w:sz w:val="18"/>
                      <w:szCs w:val="18"/>
                    </w:rPr>
                  </w:pPr>
                  <w:r>
                    <w:rPr>
                      <w:rFonts w:hint="default"/>
                      <w:color w:val="auto"/>
                      <w:sz w:val="18"/>
                      <w:szCs w:val="18"/>
                    </w:rPr>
                    <w:t>达标</w:t>
                  </w:r>
                </w:p>
              </w:tc>
              <w:tc>
                <w:tcPr>
                  <w:tcW w:w="698" w:type="dxa"/>
                  <w:vAlign w:val="center"/>
                </w:tcPr>
                <w:p w14:paraId="4497C787">
                  <w:pPr>
                    <w:keepNext w:val="0"/>
                    <w:keepLines w:val="0"/>
                    <w:suppressLineNumbers w:val="0"/>
                    <w:spacing w:before="0" w:beforeAutospacing="0" w:after="0" w:afterAutospacing="0" w:line="320" w:lineRule="exact"/>
                    <w:ind w:left="0" w:right="0"/>
                    <w:jc w:val="center"/>
                    <w:rPr>
                      <w:rFonts w:hint="default"/>
                      <w:color w:val="auto"/>
                      <w:sz w:val="18"/>
                      <w:szCs w:val="18"/>
                    </w:rPr>
                  </w:pPr>
                  <w:r>
                    <w:rPr>
                      <w:rFonts w:hint="default"/>
                      <w:color w:val="auto"/>
                      <w:sz w:val="18"/>
                      <w:szCs w:val="18"/>
                    </w:rPr>
                    <w:t>达标</w:t>
                  </w:r>
                </w:p>
              </w:tc>
            </w:tr>
            <w:tr w14:paraId="47D32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2408" w:type="dxa"/>
                  <w:vAlign w:val="center"/>
                </w:tcPr>
                <w:p w14:paraId="1ABFBEA1">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2#（项目南</w:t>
                  </w:r>
                  <w:r>
                    <w:rPr>
                      <w:rFonts w:hint="eastAsia"/>
                      <w:color w:val="auto"/>
                      <w:kern w:val="0"/>
                      <w:sz w:val="18"/>
                      <w:szCs w:val="18"/>
                      <w:lang w:val="en-US" w:eastAsia="zh-CN"/>
                    </w:rPr>
                    <w:t>场</w:t>
                  </w:r>
                  <w:r>
                    <w:rPr>
                      <w:rFonts w:hint="default"/>
                      <w:color w:val="auto"/>
                      <w:kern w:val="0"/>
                      <w:sz w:val="18"/>
                      <w:szCs w:val="18"/>
                    </w:rPr>
                    <w:t>界）</w:t>
                  </w:r>
                </w:p>
              </w:tc>
              <w:tc>
                <w:tcPr>
                  <w:tcW w:w="1133" w:type="dxa"/>
                  <w:vAlign w:val="center"/>
                </w:tcPr>
                <w:p w14:paraId="582ECB08">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2022.12.30</w:t>
                  </w:r>
                </w:p>
              </w:tc>
              <w:tc>
                <w:tcPr>
                  <w:tcW w:w="707" w:type="dxa"/>
                  <w:vAlign w:val="bottom"/>
                </w:tcPr>
                <w:p w14:paraId="7568FF2C">
                  <w:pPr>
                    <w:keepNext w:val="0"/>
                    <w:keepLines w:val="0"/>
                    <w:suppressLineNumbers w:val="0"/>
                    <w:spacing w:before="0" w:beforeAutospacing="0" w:after="0" w:afterAutospacing="0" w:line="320" w:lineRule="exact"/>
                    <w:ind w:left="0" w:right="0"/>
                    <w:jc w:val="center"/>
                    <w:rPr>
                      <w:rFonts w:hint="default" w:eastAsia="宋体"/>
                      <w:color w:val="auto"/>
                      <w:sz w:val="18"/>
                      <w:szCs w:val="18"/>
                      <w:lang w:val="en-US" w:eastAsia="zh-CN"/>
                    </w:rPr>
                  </w:pPr>
                  <w:r>
                    <w:rPr>
                      <w:rFonts w:hint="eastAsia"/>
                      <w:color w:val="auto"/>
                      <w:sz w:val="18"/>
                      <w:szCs w:val="18"/>
                      <w:lang w:val="en-US" w:eastAsia="zh-CN"/>
                    </w:rPr>
                    <w:t>49.6</w:t>
                  </w:r>
                </w:p>
              </w:tc>
              <w:tc>
                <w:tcPr>
                  <w:tcW w:w="772" w:type="dxa"/>
                  <w:vAlign w:val="bottom"/>
                </w:tcPr>
                <w:p w14:paraId="31349042">
                  <w:pPr>
                    <w:keepNext w:val="0"/>
                    <w:keepLines w:val="0"/>
                    <w:suppressLineNumbers w:val="0"/>
                    <w:spacing w:before="0" w:beforeAutospacing="0" w:after="0" w:afterAutospacing="0" w:line="320" w:lineRule="exact"/>
                    <w:ind w:left="0" w:right="0"/>
                    <w:jc w:val="center"/>
                    <w:rPr>
                      <w:rFonts w:hint="default" w:eastAsia="宋体"/>
                      <w:color w:val="auto"/>
                      <w:sz w:val="18"/>
                      <w:szCs w:val="18"/>
                      <w:lang w:val="en-US" w:eastAsia="zh-CN"/>
                    </w:rPr>
                  </w:pPr>
                  <w:r>
                    <w:rPr>
                      <w:rFonts w:hint="eastAsia"/>
                      <w:color w:val="auto"/>
                      <w:sz w:val="18"/>
                      <w:szCs w:val="18"/>
                      <w:lang w:val="en-US" w:eastAsia="zh-CN"/>
                    </w:rPr>
                    <w:t>49.5</w:t>
                  </w:r>
                </w:p>
              </w:tc>
              <w:tc>
                <w:tcPr>
                  <w:tcW w:w="644" w:type="dxa"/>
                  <w:vAlign w:val="center"/>
                </w:tcPr>
                <w:p w14:paraId="1694EB79">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rPr>
                    <w:t>60</w:t>
                  </w:r>
                </w:p>
              </w:tc>
              <w:tc>
                <w:tcPr>
                  <w:tcW w:w="708" w:type="dxa"/>
                  <w:vAlign w:val="center"/>
                </w:tcPr>
                <w:p w14:paraId="61942E30">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rPr>
                    <w:t>50</w:t>
                  </w:r>
                </w:p>
              </w:tc>
              <w:tc>
                <w:tcPr>
                  <w:tcW w:w="707" w:type="dxa"/>
                  <w:vAlign w:val="center"/>
                </w:tcPr>
                <w:p w14:paraId="6FE6FCA6">
                  <w:pPr>
                    <w:keepNext w:val="0"/>
                    <w:keepLines w:val="0"/>
                    <w:suppressLineNumbers w:val="0"/>
                    <w:spacing w:before="0" w:beforeAutospacing="0" w:after="0" w:afterAutospacing="0" w:line="320" w:lineRule="exact"/>
                    <w:ind w:left="0" w:right="0"/>
                    <w:jc w:val="center"/>
                    <w:rPr>
                      <w:rFonts w:hint="default"/>
                      <w:color w:val="auto"/>
                      <w:sz w:val="18"/>
                      <w:szCs w:val="18"/>
                    </w:rPr>
                  </w:pPr>
                  <w:r>
                    <w:rPr>
                      <w:rFonts w:hint="default"/>
                      <w:color w:val="auto"/>
                      <w:sz w:val="18"/>
                      <w:szCs w:val="18"/>
                    </w:rPr>
                    <w:t>达标</w:t>
                  </w:r>
                </w:p>
              </w:tc>
              <w:tc>
                <w:tcPr>
                  <w:tcW w:w="698" w:type="dxa"/>
                  <w:vAlign w:val="center"/>
                </w:tcPr>
                <w:p w14:paraId="64F9336D">
                  <w:pPr>
                    <w:keepNext w:val="0"/>
                    <w:keepLines w:val="0"/>
                    <w:suppressLineNumbers w:val="0"/>
                    <w:spacing w:before="0" w:beforeAutospacing="0" w:after="0" w:afterAutospacing="0" w:line="320" w:lineRule="exact"/>
                    <w:ind w:left="0" w:right="0"/>
                    <w:jc w:val="center"/>
                    <w:rPr>
                      <w:rFonts w:hint="default"/>
                      <w:color w:val="auto"/>
                      <w:sz w:val="18"/>
                      <w:szCs w:val="18"/>
                    </w:rPr>
                  </w:pPr>
                  <w:r>
                    <w:rPr>
                      <w:rFonts w:hint="default"/>
                      <w:color w:val="auto"/>
                      <w:sz w:val="18"/>
                      <w:szCs w:val="18"/>
                    </w:rPr>
                    <w:t>达标</w:t>
                  </w:r>
                </w:p>
              </w:tc>
            </w:tr>
            <w:tr w14:paraId="4F047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2408" w:type="dxa"/>
                  <w:vAlign w:val="center"/>
                </w:tcPr>
                <w:p w14:paraId="3FFB8539">
                  <w:pPr>
                    <w:keepNext w:val="0"/>
                    <w:keepLines w:val="0"/>
                    <w:widowControl/>
                    <w:suppressLineNumbers w:val="0"/>
                    <w:spacing w:before="0" w:beforeAutospacing="0" w:after="0" w:afterAutospacing="0" w:line="320" w:lineRule="exact"/>
                    <w:ind w:left="0" w:right="0"/>
                    <w:jc w:val="center"/>
                    <w:rPr>
                      <w:rFonts w:hint="default"/>
                      <w:color w:val="auto"/>
                      <w:kern w:val="0"/>
                      <w:sz w:val="18"/>
                      <w:szCs w:val="18"/>
                    </w:rPr>
                  </w:pPr>
                  <w:r>
                    <w:rPr>
                      <w:rFonts w:hint="default"/>
                      <w:color w:val="auto"/>
                      <w:kern w:val="0"/>
                      <w:sz w:val="18"/>
                      <w:szCs w:val="18"/>
                    </w:rPr>
                    <w:t>3#（项目西</w:t>
                  </w:r>
                  <w:r>
                    <w:rPr>
                      <w:rFonts w:hint="eastAsia"/>
                      <w:color w:val="auto"/>
                      <w:kern w:val="0"/>
                      <w:sz w:val="18"/>
                      <w:szCs w:val="18"/>
                      <w:lang w:val="en-US" w:eastAsia="zh-CN"/>
                    </w:rPr>
                    <w:t>场</w:t>
                  </w:r>
                  <w:r>
                    <w:rPr>
                      <w:rFonts w:hint="default"/>
                      <w:color w:val="auto"/>
                      <w:kern w:val="0"/>
                      <w:sz w:val="18"/>
                      <w:szCs w:val="18"/>
                    </w:rPr>
                    <w:t>界）</w:t>
                  </w:r>
                </w:p>
              </w:tc>
              <w:tc>
                <w:tcPr>
                  <w:tcW w:w="1133" w:type="dxa"/>
                  <w:vAlign w:val="center"/>
                </w:tcPr>
                <w:p w14:paraId="35C536D4">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2022.12.30</w:t>
                  </w:r>
                </w:p>
              </w:tc>
              <w:tc>
                <w:tcPr>
                  <w:tcW w:w="707" w:type="dxa"/>
                  <w:vAlign w:val="bottom"/>
                </w:tcPr>
                <w:p w14:paraId="46940517">
                  <w:pPr>
                    <w:keepNext w:val="0"/>
                    <w:keepLines w:val="0"/>
                    <w:suppressLineNumbers w:val="0"/>
                    <w:spacing w:before="0" w:beforeAutospacing="0" w:after="0" w:afterAutospacing="0" w:line="320" w:lineRule="exact"/>
                    <w:ind w:left="0" w:right="0"/>
                    <w:jc w:val="center"/>
                    <w:rPr>
                      <w:rFonts w:hint="default" w:eastAsia="宋体"/>
                      <w:color w:val="auto"/>
                      <w:sz w:val="18"/>
                      <w:szCs w:val="18"/>
                      <w:lang w:val="en-US" w:eastAsia="zh-CN"/>
                    </w:rPr>
                  </w:pPr>
                  <w:r>
                    <w:rPr>
                      <w:rFonts w:hint="eastAsia"/>
                      <w:color w:val="auto"/>
                      <w:sz w:val="18"/>
                      <w:szCs w:val="18"/>
                      <w:lang w:val="en-US" w:eastAsia="zh-CN"/>
                    </w:rPr>
                    <w:t>46.7</w:t>
                  </w:r>
                </w:p>
              </w:tc>
              <w:tc>
                <w:tcPr>
                  <w:tcW w:w="772" w:type="dxa"/>
                  <w:vAlign w:val="bottom"/>
                </w:tcPr>
                <w:p w14:paraId="6BB069B3">
                  <w:pPr>
                    <w:keepNext w:val="0"/>
                    <w:keepLines w:val="0"/>
                    <w:suppressLineNumbers w:val="0"/>
                    <w:spacing w:before="0" w:beforeAutospacing="0" w:after="0" w:afterAutospacing="0" w:line="320" w:lineRule="exact"/>
                    <w:ind w:left="0" w:right="0"/>
                    <w:jc w:val="center"/>
                    <w:rPr>
                      <w:rFonts w:hint="default" w:eastAsia="宋体"/>
                      <w:color w:val="auto"/>
                      <w:sz w:val="18"/>
                      <w:szCs w:val="18"/>
                      <w:lang w:val="en-US" w:eastAsia="zh-CN"/>
                    </w:rPr>
                  </w:pPr>
                  <w:r>
                    <w:rPr>
                      <w:rFonts w:hint="eastAsia"/>
                      <w:color w:val="auto"/>
                      <w:sz w:val="18"/>
                      <w:szCs w:val="18"/>
                      <w:lang w:val="en-US" w:eastAsia="zh-CN"/>
                    </w:rPr>
                    <w:t>47.6</w:t>
                  </w:r>
                </w:p>
              </w:tc>
              <w:tc>
                <w:tcPr>
                  <w:tcW w:w="644" w:type="dxa"/>
                  <w:vAlign w:val="center"/>
                </w:tcPr>
                <w:p w14:paraId="32F98E34">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rPr>
                    <w:t>60</w:t>
                  </w:r>
                </w:p>
              </w:tc>
              <w:tc>
                <w:tcPr>
                  <w:tcW w:w="708" w:type="dxa"/>
                  <w:vAlign w:val="center"/>
                </w:tcPr>
                <w:p w14:paraId="75CC04E1">
                  <w:pPr>
                    <w:keepNext w:val="0"/>
                    <w:keepLines w:val="0"/>
                    <w:widowControl/>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0"/>
                      <w:sz w:val="18"/>
                      <w:szCs w:val="18"/>
                      <w:lang w:val="en-US" w:eastAsia="zh-CN" w:bidi="ar-SA"/>
                    </w:rPr>
                  </w:pPr>
                  <w:r>
                    <w:rPr>
                      <w:rFonts w:hint="eastAsia"/>
                      <w:color w:val="auto"/>
                      <w:kern w:val="0"/>
                      <w:sz w:val="18"/>
                      <w:szCs w:val="18"/>
                    </w:rPr>
                    <w:t>50</w:t>
                  </w:r>
                </w:p>
              </w:tc>
              <w:tc>
                <w:tcPr>
                  <w:tcW w:w="707" w:type="dxa"/>
                  <w:vAlign w:val="center"/>
                </w:tcPr>
                <w:p w14:paraId="49510535">
                  <w:pPr>
                    <w:keepNext w:val="0"/>
                    <w:keepLines w:val="0"/>
                    <w:suppressLineNumbers w:val="0"/>
                    <w:spacing w:before="0" w:beforeAutospacing="0" w:after="0" w:afterAutospacing="0" w:line="320" w:lineRule="exact"/>
                    <w:ind w:left="0" w:right="0"/>
                    <w:jc w:val="center"/>
                    <w:rPr>
                      <w:rFonts w:hint="default"/>
                      <w:color w:val="auto"/>
                      <w:sz w:val="18"/>
                      <w:szCs w:val="18"/>
                    </w:rPr>
                  </w:pPr>
                  <w:r>
                    <w:rPr>
                      <w:rFonts w:hint="default"/>
                      <w:color w:val="auto"/>
                      <w:sz w:val="18"/>
                      <w:szCs w:val="18"/>
                    </w:rPr>
                    <w:t>达标</w:t>
                  </w:r>
                </w:p>
              </w:tc>
              <w:tc>
                <w:tcPr>
                  <w:tcW w:w="698" w:type="dxa"/>
                  <w:vAlign w:val="center"/>
                </w:tcPr>
                <w:p w14:paraId="3E2D914A">
                  <w:pPr>
                    <w:keepNext w:val="0"/>
                    <w:keepLines w:val="0"/>
                    <w:suppressLineNumbers w:val="0"/>
                    <w:spacing w:before="0" w:beforeAutospacing="0" w:after="0" w:afterAutospacing="0" w:line="320" w:lineRule="exact"/>
                    <w:ind w:left="0" w:right="0"/>
                    <w:jc w:val="center"/>
                    <w:rPr>
                      <w:rFonts w:hint="eastAsia" w:eastAsia="宋体"/>
                      <w:b/>
                      <w:color w:val="auto"/>
                      <w:sz w:val="18"/>
                      <w:szCs w:val="18"/>
                      <w:lang w:eastAsia="zh-CN"/>
                    </w:rPr>
                  </w:pPr>
                  <w:r>
                    <w:rPr>
                      <w:rFonts w:hint="eastAsia"/>
                      <w:b w:val="0"/>
                      <w:bCs/>
                      <w:color w:val="auto"/>
                      <w:sz w:val="18"/>
                      <w:szCs w:val="18"/>
                      <w:lang w:val="en-US" w:eastAsia="zh-CN"/>
                    </w:rPr>
                    <w:t>达标</w:t>
                  </w:r>
                </w:p>
              </w:tc>
            </w:tr>
          </w:tbl>
          <w:p w14:paraId="50207D29">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eastAsia="宋体"/>
                <w:color w:val="auto"/>
                <w:szCs w:val="28"/>
                <w:lang w:val="en-US" w:eastAsia="zh-CN"/>
              </w:rPr>
            </w:pPr>
            <w:r>
              <w:rPr>
                <w:rFonts w:hint="eastAsia"/>
                <w:color w:val="auto"/>
                <w:szCs w:val="28"/>
                <w:lang w:val="zh-CN"/>
              </w:rPr>
              <w:t>由上表监测结果可知，</w:t>
            </w:r>
            <w:r>
              <w:rPr>
                <w:rFonts w:hint="eastAsia" w:cs="宋体"/>
                <w:color w:val="auto"/>
                <w:kern w:val="0"/>
                <w:szCs w:val="21"/>
              </w:rPr>
              <w:t>项目区周边噪声监测点位的监测结果</w:t>
            </w:r>
            <w:r>
              <w:rPr>
                <w:rFonts w:hint="eastAsia" w:cs="宋体"/>
                <w:color w:val="auto"/>
                <w:kern w:val="0"/>
                <w:szCs w:val="21"/>
                <w:lang w:val="en-US" w:eastAsia="zh-CN"/>
              </w:rPr>
              <w:t>均能满足《声环境质量标准》（GB 3096-2008）</w:t>
            </w:r>
            <w:r>
              <w:rPr>
                <w:rFonts w:hint="eastAsia" w:cs="宋体"/>
                <w:color w:val="auto"/>
                <w:kern w:val="0"/>
                <w:szCs w:val="21"/>
              </w:rPr>
              <w:t>。</w:t>
            </w:r>
            <w:r>
              <w:rPr>
                <w:rFonts w:hint="eastAsia" w:cs="宋体"/>
                <w:color w:val="auto"/>
                <w:kern w:val="0"/>
                <w:szCs w:val="21"/>
                <w:lang w:val="en-US" w:eastAsia="zh-CN"/>
              </w:rPr>
              <w:t>项目区周边声环境质量良好。</w:t>
            </w:r>
          </w:p>
          <w:p w14:paraId="2C675BD0">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rPr>
            </w:pPr>
            <w:r>
              <w:rPr>
                <w:rFonts w:hint="eastAsia" w:eastAsia="黑体" w:cs="宋体"/>
                <w:color w:val="auto"/>
                <w:kern w:val="0"/>
              </w:rPr>
              <w:t>4</w:t>
            </w:r>
            <w:r>
              <w:rPr>
                <w:rFonts w:hint="default" w:eastAsia="黑体" w:cs="宋体"/>
                <w:color w:val="auto"/>
                <w:kern w:val="0"/>
              </w:rPr>
              <w:t>、生态环境质量现状及评价</w:t>
            </w:r>
          </w:p>
          <w:p w14:paraId="7D75A2FB">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olor w:val="auto"/>
                <w:lang w:val="zh-CN"/>
              </w:rPr>
            </w:pPr>
            <w:r>
              <w:rPr>
                <w:rFonts w:hint="eastAsia"/>
                <w:color w:val="auto"/>
                <w:szCs w:val="28"/>
                <w:lang w:val="zh-CN"/>
              </w:rPr>
              <w:t>本项目位于通川区</w:t>
            </w:r>
            <w:r>
              <w:rPr>
                <w:rFonts w:hint="eastAsia"/>
                <w:color w:val="auto"/>
                <w:szCs w:val="28"/>
                <w:lang w:val="en-US" w:eastAsia="zh-CN"/>
              </w:rPr>
              <w:t>罗江镇高石社区</w:t>
            </w:r>
            <w:r>
              <w:rPr>
                <w:rFonts w:hint="eastAsia"/>
                <w:color w:val="auto"/>
                <w:szCs w:val="28"/>
                <w:lang w:val="zh-CN"/>
              </w:rPr>
              <w:t>，属于</w:t>
            </w:r>
            <w:r>
              <w:rPr>
                <w:rFonts w:hint="eastAsia"/>
                <w:color w:val="auto"/>
                <w:szCs w:val="28"/>
                <w:lang w:val="en-US" w:eastAsia="zh-CN"/>
              </w:rPr>
              <w:t>场镇规划区</w:t>
            </w:r>
            <w:r>
              <w:rPr>
                <w:rFonts w:hint="eastAsia"/>
                <w:color w:val="auto"/>
                <w:szCs w:val="28"/>
                <w:lang w:val="zh-CN"/>
              </w:rPr>
              <w:t>范围，区域主要为城市生态系统。各类植被主要为人工栽种的景观植物，动物主要为人工</w:t>
            </w:r>
            <w:r>
              <w:rPr>
                <w:rFonts w:hint="default"/>
                <w:color w:val="auto"/>
                <w:szCs w:val="28"/>
                <w:lang w:val="zh-CN"/>
              </w:rPr>
              <w:t>豢养的猫、狗等宠物；</w:t>
            </w:r>
            <w:r>
              <w:rPr>
                <w:rFonts w:hint="eastAsia"/>
                <w:color w:val="auto"/>
                <w:szCs w:val="28"/>
                <w:lang w:val="zh-CN"/>
              </w:rPr>
              <w:t>建设区域无国家保护的重点野生动植物，无名木古树及珍稀动植物等，无特殊文物保护单位等敏感目标。总体来看，项目区域生态环境质量一般。</w:t>
            </w:r>
          </w:p>
        </w:tc>
      </w:tr>
      <w:tr w14:paraId="01DA7A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9" w:type="dxa"/>
            <w:tcBorders>
              <w:top w:val="single" w:color="auto" w:sz="4" w:space="0"/>
              <w:left w:val="single" w:color="auto" w:sz="8" w:space="0"/>
              <w:bottom w:val="single" w:color="auto" w:sz="4" w:space="0"/>
              <w:right w:val="single" w:color="auto" w:sz="4" w:space="0"/>
            </w:tcBorders>
            <w:vAlign w:val="center"/>
          </w:tcPr>
          <w:p w14:paraId="1F639C08">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环境</w:t>
            </w:r>
          </w:p>
          <w:p w14:paraId="6F6CA2F6">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保护</w:t>
            </w:r>
          </w:p>
          <w:p w14:paraId="7A129292">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目标</w:t>
            </w:r>
          </w:p>
        </w:tc>
        <w:tc>
          <w:tcPr>
            <w:tcW w:w="8115" w:type="dxa"/>
            <w:tcBorders>
              <w:top w:val="single" w:color="auto" w:sz="4" w:space="0"/>
              <w:left w:val="single" w:color="auto" w:sz="4" w:space="0"/>
              <w:bottom w:val="single" w:color="auto" w:sz="4" w:space="0"/>
              <w:right w:val="single" w:color="auto" w:sz="8" w:space="0"/>
            </w:tcBorders>
            <w:vAlign w:val="center"/>
          </w:tcPr>
          <w:p w14:paraId="11ECF4DE">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eastAsia="黑体" w:cs="宋体"/>
                <w:bCs/>
                <w:color w:val="auto"/>
              </w:rPr>
            </w:pPr>
            <w:r>
              <w:rPr>
                <w:rFonts w:hint="default" w:eastAsia="黑体" w:cs="宋体"/>
                <w:bCs/>
                <w:color w:val="auto"/>
              </w:rPr>
              <w:t>1</w:t>
            </w:r>
            <w:r>
              <w:rPr>
                <w:rFonts w:hint="eastAsia" w:eastAsia="黑体" w:cs="宋体"/>
                <w:bCs/>
                <w:color w:val="auto"/>
              </w:rPr>
              <w:t>、大气环境</w:t>
            </w:r>
          </w:p>
          <w:p w14:paraId="41E95F22">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cs="宋体"/>
                <w:color w:val="auto"/>
                <w:kern w:val="0"/>
                <w:szCs w:val="21"/>
              </w:rPr>
            </w:pPr>
            <w:r>
              <w:rPr>
                <w:rFonts w:hint="eastAsia" w:cs="宋体"/>
                <w:color w:val="auto"/>
                <w:kern w:val="0"/>
                <w:szCs w:val="21"/>
              </w:rPr>
              <w:t>项目场界外</w:t>
            </w:r>
            <w:r>
              <w:rPr>
                <w:rFonts w:hint="default" w:cs="宋体"/>
                <w:color w:val="auto"/>
                <w:kern w:val="0"/>
                <w:szCs w:val="21"/>
              </w:rPr>
              <w:t>500m</w:t>
            </w:r>
            <w:r>
              <w:rPr>
                <w:rFonts w:hint="eastAsia" w:cs="宋体"/>
                <w:color w:val="auto"/>
                <w:kern w:val="0"/>
                <w:szCs w:val="21"/>
              </w:rPr>
              <w:t>范围内无自然保护区、风景名胜区等保护目标，周围主要为居民小区、学校、医疗机构等保护目标。</w:t>
            </w:r>
          </w:p>
          <w:p w14:paraId="4911B2A2">
            <w:pPr>
              <w:keepNext w:val="0"/>
              <w:keepLines w:val="0"/>
              <w:suppressLineNumbers w:val="0"/>
              <w:autoSpaceDE w:val="0"/>
              <w:autoSpaceDN w:val="0"/>
              <w:adjustRightInd w:val="0"/>
              <w:spacing w:before="0" w:beforeAutospacing="0" w:after="0" w:afterAutospacing="0" w:line="400" w:lineRule="exact"/>
              <w:ind w:left="0" w:right="0" w:firstLine="420" w:firstLineChars="200"/>
              <w:rPr>
                <w:rFonts w:hint="default"/>
                <w:bCs/>
                <w:color w:val="auto"/>
                <w:sz w:val="24"/>
              </w:rPr>
            </w:pPr>
            <w:r>
              <w:rPr>
                <w:rFonts w:hint="eastAsia" w:cs="宋体"/>
                <w:color w:val="auto"/>
                <w:kern w:val="0"/>
                <w:szCs w:val="21"/>
              </w:rPr>
              <w:t>项目周边保护目标与本项目位置关系见下表。</w:t>
            </w:r>
          </w:p>
          <w:p w14:paraId="6A36009F">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3-</w:t>
            </w:r>
            <w:r>
              <w:rPr>
                <w:rFonts w:hint="eastAsia" w:eastAsia="黑体"/>
                <w:color w:val="auto"/>
                <w:sz w:val="18"/>
                <w:szCs w:val="18"/>
                <w:lang w:val="en-US" w:eastAsia="zh-CN"/>
              </w:rPr>
              <w:t>4</w:t>
            </w:r>
            <w:r>
              <w:rPr>
                <w:rFonts w:hint="eastAsia" w:eastAsia="黑体"/>
                <w:color w:val="auto"/>
                <w:sz w:val="18"/>
                <w:szCs w:val="18"/>
              </w:rPr>
              <w:t xml:space="preserve">    大气</w:t>
            </w:r>
            <w:r>
              <w:rPr>
                <w:rFonts w:hint="default" w:eastAsia="黑体"/>
                <w:color w:val="auto"/>
                <w:sz w:val="18"/>
                <w:szCs w:val="18"/>
              </w:rPr>
              <w:t>环境保护目标</w:t>
            </w:r>
          </w:p>
          <w:tbl>
            <w:tblPr>
              <w:tblStyle w:val="13"/>
              <w:tblW w:w="76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627"/>
              <w:gridCol w:w="1853"/>
              <w:gridCol w:w="1421"/>
              <w:gridCol w:w="815"/>
              <w:gridCol w:w="1150"/>
              <w:gridCol w:w="1268"/>
            </w:tblGrid>
            <w:tr w14:paraId="75BD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 w:hRule="atLeast"/>
                <w:jc w:val="center"/>
              </w:trPr>
              <w:tc>
                <w:tcPr>
                  <w:tcW w:w="528" w:type="dxa"/>
                  <w:vAlign w:val="center"/>
                </w:tcPr>
                <w:p w14:paraId="64189F11">
                  <w:pPr>
                    <w:keepNext w:val="0"/>
                    <w:keepLines w:val="0"/>
                    <w:suppressLineNumbers w:val="0"/>
                    <w:spacing w:before="0" w:beforeAutospacing="0" w:after="0" w:afterAutospacing="0" w:line="300" w:lineRule="exact"/>
                    <w:ind w:left="-40" w:leftChars="-19" w:right="-50" w:rightChars="-24"/>
                    <w:jc w:val="center"/>
                    <w:rPr>
                      <w:rFonts w:hint="default"/>
                      <w:b/>
                      <w:color w:val="auto"/>
                      <w:sz w:val="18"/>
                      <w:szCs w:val="18"/>
                    </w:rPr>
                  </w:pPr>
                  <w:r>
                    <w:rPr>
                      <w:rFonts w:hint="default"/>
                      <w:b/>
                      <w:color w:val="auto"/>
                      <w:sz w:val="18"/>
                      <w:szCs w:val="18"/>
                    </w:rPr>
                    <w:t>序号</w:t>
                  </w:r>
                </w:p>
              </w:tc>
              <w:tc>
                <w:tcPr>
                  <w:tcW w:w="627" w:type="dxa"/>
                  <w:vAlign w:val="center"/>
                </w:tcPr>
                <w:p w14:paraId="32CD9FE2">
                  <w:pPr>
                    <w:keepNext w:val="0"/>
                    <w:keepLines w:val="0"/>
                    <w:suppressLineNumbers w:val="0"/>
                    <w:spacing w:before="0" w:beforeAutospacing="0" w:after="0" w:afterAutospacing="0" w:line="300" w:lineRule="exact"/>
                    <w:ind w:left="0" w:right="0"/>
                    <w:jc w:val="center"/>
                    <w:rPr>
                      <w:rFonts w:hint="default"/>
                      <w:b/>
                      <w:color w:val="auto"/>
                      <w:sz w:val="18"/>
                      <w:szCs w:val="18"/>
                    </w:rPr>
                  </w:pPr>
                  <w:r>
                    <w:rPr>
                      <w:rFonts w:hint="default"/>
                      <w:b/>
                      <w:color w:val="auto"/>
                      <w:sz w:val="18"/>
                      <w:szCs w:val="18"/>
                    </w:rPr>
                    <w:t>环境</w:t>
                  </w:r>
                </w:p>
                <w:p w14:paraId="2B5ACE92">
                  <w:pPr>
                    <w:keepNext w:val="0"/>
                    <w:keepLines w:val="0"/>
                    <w:suppressLineNumbers w:val="0"/>
                    <w:spacing w:before="0" w:beforeAutospacing="0" w:after="0" w:afterAutospacing="0" w:line="300" w:lineRule="exact"/>
                    <w:ind w:left="0" w:right="0"/>
                    <w:jc w:val="center"/>
                    <w:rPr>
                      <w:rFonts w:hint="default"/>
                      <w:b/>
                      <w:color w:val="auto"/>
                      <w:sz w:val="18"/>
                      <w:szCs w:val="18"/>
                    </w:rPr>
                  </w:pPr>
                  <w:r>
                    <w:rPr>
                      <w:rFonts w:hint="default"/>
                      <w:b/>
                      <w:color w:val="auto"/>
                      <w:sz w:val="18"/>
                      <w:szCs w:val="18"/>
                    </w:rPr>
                    <w:t>要素</w:t>
                  </w:r>
                </w:p>
              </w:tc>
              <w:tc>
                <w:tcPr>
                  <w:tcW w:w="1853" w:type="dxa"/>
                  <w:vAlign w:val="center"/>
                </w:tcPr>
                <w:p w14:paraId="40EE1BD4">
                  <w:pPr>
                    <w:keepNext w:val="0"/>
                    <w:keepLines w:val="0"/>
                    <w:suppressLineNumbers w:val="0"/>
                    <w:spacing w:before="0" w:beforeAutospacing="0" w:after="0" w:afterAutospacing="0" w:line="300" w:lineRule="exact"/>
                    <w:ind w:left="-53" w:leftChars="-25" w:right="-53" w:rightChars="-25"/>
                    <w:jc w:val="center"/>
                    <w:rPr>
                      <w:rFonts w:hint="default" w:eastAsia="宋体"/>
                      <w:b/>
                      <w:color w:val="auto"/>
                      <w:sz w:val="18"/>
                      <w:szCs w:val="18"/>
                      <w:lang w:val="en-US" w:eastAsia="zh-CN"/>
                    </w:rPr>
                  </w:pPr>
                  <w:r>
                    <w:rPr>
                      <w:rFonts w:hint="eastAsia"/>
                      <w:b/>
                      <w:color w:val="auto"/>
                      <w:sz w:val="18"/>
                      <w:szCs w:val="18"/>
                      <w:lang w:val="en-US" w:eastAsia="zh-CN"/>
                    </w:rPr>
                    <w:t>名称</w:t>
                  </w:r>
                </w:p>
              </w:tc>
              <w:tc>
                <w:tcPr>
                  <w:tcW w:w="1421" w:type="dxa"/>
                  <w:vAlign w:val="center"/>
                </w:tcPr>
                <w:p w14:paraId="2776202A">
                  <w:pPr>
                    <w:keepNext w:val="0"/>
                    <w:keepLines w:val="0"/>
                    <w:suppressLineNumbers w:val="0"/>
                    <w:spacing w:before="0" w:beforeAutospacing="0" w:after="0" w:afterAutospacing="0" w:line="300" w:lineRule="exact"/>
                    <w:ind w:left="0" w:right="0"/>
                    <w:jc w:val="center"/>
                    <w:rPr>
                      <w:rFonts w:hint="default"/>
                      <w:b/>
                      <w:color w:val="auto"/>
                      <w:sz w:val="18"/>
                      <w:szCs w:val="18"/>
                    </w:rPr>
                  </w:pPr>
                  <w:r>
                    <w:rPr>
                      <w:rFonts w:hint="default"/>
                      <w:b/>
                      <w:color w:val="auto"/>
                      <w:sz w:val="18"/>
                      <w:szCs w:val="18"/>
                    </w:rPr>
                    <w:t>方位及距离</w:t>
                  </w:r>
                </w:p>
              </w:tc>
              <w:tc>
                <w:tcPr>
                  <w:tcW w:w="815" w:type="dxa"/>
                  <w:vAlign w:val="center"/>
                </w:tcPr>
                <w:p w14:paraId="445D015A">
                  <w:pPr>
                    <w:keepNext w:val="0"/>
                    <w:keepLines w:val="0"/>
                    <w:suppressLineNumbers w:val="0"/>
                    <w:spacing w:before="0" w:beforeAutospacing="0" w:after="0" w:afterAutospacing="0" w:line="300" w:lineRule="exact"/>
                    <w:ind w:left="0" w:right="0"/>
                    <w:jc w:val="center"/>
                    <w:rPr>
                      <w:rFonts w:hint="default"/>
                      <w:b/>
                      <w:color w:val="auto"/>
                      <w:sz w:val="18"/>
                      <w:szCs w:val="18"/>
                    </w:rPr>
                  </w:pPr>
                  <w:r>
                    <w:rPr>
                      <w:rFonts w:hint="default"/>
                      <w:b/>
                      <w:color w:val="auto"/>
                      <w:sz w:val="18"/>
                      <w:szCs w:val="18"/>
                    </w:rPr>
                    <w:t>类别</w:t>
                  </w:r>
                </w:p>
              </w:tc>
              <w:tc>
                <w:tcPr>
                  <w:tcW w:w="1150" w:type="dxa"/>
                  <w:vAlign w:val="center"/>
                </w:tcPr>
                <w:p w14:paraId="53A9CC4C">
                  <w:pPr>
                    <w:keepNext w:val="0"/>
                    <w:keepLines w:val="0"/>
                    <w:suppressLineNumbers w:val="0"/>
                    <w:spacing w:before="0" w:beforeAutospacing="0" w:after="0" w:afterAutospacing="0" w:line="300" w:lineRule="exact"/>
                    <w:ind w:left="0" w:right="0"/>
                    <w:jc w:val="center"/>
                    <w:rPr>
                      <w:rFonts w:hint="default"/>
                      <w:b/>
                      <w:color w:val="auto"/>
                      <w:sz w:val="18"/>
                      <w:szCs w:val="18"/>
                    </w:rPr>
                  </w:pPr>
                  <w:r>
                    <w:rPr>
                      <w:rFonts w:hint="default"/>
                      <w:b/>
                      <w:color w:val="auto"/>
                      <w:sz w:val="18"/>
                      <w:szCs w:val="18"/>
                    </w:rPr>
                    <w:t>规模</w:t>
                  </w:r>
                </w:p>
              </w:tc>
              <w:tc>
                <w:tcPr>
                  <w:tcW w:w="1268" w:type="dxa"/>
                  <w:vAlign w:val="center"/>
                </w:tcPr>
                <w:p w14:paraId="7CA0A54F">
                  <w:pPr>
                    <w:keepNext w:val="0"/>
                    <w:keepLines w:val="0"/>
                    <w:suppressLineNumbers w:val="0"/>
                    <w:spacing w:before="0" w:beforeAutospacing="0" w:after="0" w:afterAutospacing="0" w:line="300" w:lineRule="exact"/>
                    <w:ind w:left="0" w:right="0"/>
                    <w:jc w:val="center"/>
                    <w:rPr>
                      <w:rFonts w:hint="default"/>
                      <w:b/>
                      <w:color w:val="auto"/>
                      <w:sz w:val="18"/>
                      <w:szCs w:val="18"/>
                    </w:rPr>
                  </w:pPr>
                  <w:r>
                    <w:rPr>
                      <w:rFonts w:hint="default"/>
                      <w:b/>
                      <w:color w:val="auto"/>
                      <w:sz w:val="18"/>
                      <w:szCs w:val="18"/>
                    </w:rPr>
                    <w:t>保护级别</w:t>
                  </w:r>
                </w:p>
              </w:tc>
            </w:tr>
            <w:tr w14:paraId="6FC86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528" w:type="dxa"/>
                  <w:vAlign w:val="center"/>
                </w:tcPr>
                <w:p w14:paraId="4A13388A">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rPr>
                    <w:t>1</w:t>
                  </w:r>
                </w:p>
              </w:tc>
              <w:tc>
                <w:tcPr>
                  <w:tcW w:w="627" w:type="dxa"/>
                  <w:vMerge w:val="restart"/>
                  <w:vAlign w:val="center"/>
                </w:tcPr>
                <w:p w14:paraId="4A93E5E6">
                  <w:pPr>
                    <w:keepNext w:val="0"/>
                    <w:keepLines w:val="0"/>
                    <w:suppressLineNumbers w:val="0"/>
                    <w:spacing w:before="0" w:beforeAutospacing="0" w:after="0" w:afterAutospacing="0" w:line="300" w:lineRule="exact"/>
                    <w:ind w:left="-50" w:leftChars="-24" w:right="-36" w:rightChars="-17"/>
                    <w:jc w:val="center"/>
                    <w:rPr>
                      <w:rFonts w:hint="default"/>
                      <w:bCs/>
                      <w:color w:val="auto"/>
                      <w:sz w:val="18"/>
                      <w:szCs w:val="18"/>
                    </w:rPr>
                  </w:pPr>
                  <w:r>
                    <w:rPr>
                      <w:rFonts w:hint="default"/>
                      <w:bCs/>
                      <w:color w:val="auto"/>
                      <w:sz w:val="18"/>
                      <w:szCs w:val="18"/>
                    </w:rPr>
                    <w:t>环境空气</w:t>
                  </w:r>
                </w:p>
              </w:tc>
              <w:tc>
                <w:tcPr>
                  <w:tcW w:w="1853" w:type="dxa"/>
                  <w:vAlign w:val="center"/>
                </w:tcPr>
                <w:p w14:paraId="6BA55976">
                  <w:pPr>
                    <w:keepNext w:val="0"/>
                    <w:keepLines w:val="0"/>
                    <w:suppressLineNumbers w:val="0"/>
                    <w:spacing w:before="0" w:beforeAutospacing="0" w:after="0" w:afterAutospacing="0"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高岩村居民</w:t>
                  </w:r>
                </w:p>
              </w:tc>
              <w:tc>
                <w:tcPr>
                  <w:tcW w:w="1421" w:type="dxa"/>
                  <w:vAlign w:val="center"/>
                </w:tcPr>
                <w:p w14:paraId="54328A0C">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东、350m</w:t>
                  </w:r>
                </w:p>
              </w:tc>
              <w:tc>
                <w:tcPr>
                  <w:tcW w:w="815" w:type="dxa"/>
                  <w:vAlign w:val="center"/>
                </w:tcPr>
                <w:p w14:paraId="7EED790B">
                  <w:pPr>
                    <w:keepNext w:val="0"/>
                    <w:keepLines w:val="0"/>
                    <w:suppressLineNumbers w:val="0"/>
                    <w:spacing w:before="0" w:beforeAutospacing="0" w:after="0" w:afterAutospacing="0" w:line="300" w:lineRule="exact"/>
                    <w:ind w:left="0" w:right="0"/>
                    <w:jc w:val="center"/>
                    <w:rPr>
                      <w:rFonts w:hint="eastAsia" w:eastAsia="宋体"/>
                      <w:bCs/>
                      <w:color w:val="auto"/>
                      <w:sz w:val="18"/>
                      <w:szCs w:val="18"/>
                      <w:lang w:val="en-US" w:eastAsia="zh-CN"/>
                    </w:rPr>
                  </w:pPr>
                  <w:r>
                    <w:rPr>
                      <w:rFonts w:hint="eastAsia"/>
                      <w:bCs/>
                      <w:color w:val="auto"/>
                      <w:sz w:val="18"/>
                      <w:szCs w:val="18"/>
                      <w:lang w:val="en-US" w:eastAsia="zh-CN"/>
                    </w:rPr>
                    <w:t>居民</w:t>
                  </w:r>
                </w:p>
              </w:tc>
              <w:tc>
                <w:tcPr>
                  <w:tcW w:w="1150" w:type="dxa"/>
                  <w:vAlign w:val="center"/>
                </w:tcPr>
                <w:p w14:paraId="75A2E895">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20户、55人</w:t>
                  </w:r>
                </w:p>
              </w:tc>
              <w:tc>
                <w:tcPr>
                  <w:tcW w:w="1268" w:type="dxa"/>
                  <w:vMerge w:val="restart"/>
                  <w:vAlign w:val="center"/>
                </w:tcPr>
                <w:p w14:paraId="76419ED7">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《环境空气质量标准》（GB3095-2012）</w:t>
                  </w:r>
                  <w:r>
                    <w:rPr>
                      <w:rFonts w:hint="default"/>
                      <w:bCs/>
                      <w:color w:val="auto"/>
                      <w:sz w:val="18"/>
                      <w:szCs w:val="18"/>
                    </w:rPr>
                    <w:t>二级</w:t>
                  </w:r>
                  <w:r>
                    <w:rPr>
                      <w:rFonts w:hint="default"/>
                      <w:color w:val="auto"/>
                      <w:sz w:val="18"/>
                      <w:szCs w:val="18"/>
                    </w:rPr>
                    <w:t>标准</w:t>
                  </w:r>
                </w:p>
              </w:tc>
            </w:tr>
            <w:tr w14:paraId="7389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528" w:type="dxa"/>
                  <w:vAlign w:val="center"/>
                </w:tcPr>
                <w:p w14:paraId="0C1BB7D9">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rPr>
                    <w:t>2</w:t>
                  </w:r>
                </w:p>
              </w:tc>
              <w:tc>
                <w:tcPr>
                  <w:tcW w:w="627" w:type="dxa"/>
                  <w:vMerge w:val="continue"/>
                  <w:vAlign w:val="center"/>
                </w:tcPr>
                <w:p w14:paraId="64DFB7C8">
                  <w:pPr>
                    <w:keepNext w:val="0"/>
                    <w:keepLines w:val="0"/>
                    <w:suppressLineNumbers w:val="0"/>
                    <w:spacing w:before="0" w:beforeAutospacing="0" w:after="0" w:afterAutospacing="0" w:line="300" w:lineRule="exact"/>
                    <w:ind w:left="-50" w:leftChars="-24" w:right="-36" w:rightChars="-17"/>
                    <w:jc w:val="center"/>
                    <w:rPr>
                      <w:rFonts w:hint="default"/>
                      <w:bCs/>
                      <w:color w:val="auto"/>
                      <w:sz w:val="18"/>
                      <w:szCs w:val="18"/>
                    </w:rPr>
                  </w:pPr>
                </w:p>
              </w:tc>
              <w:tc>
                <w:tcPr>
                  <w:tcW w:w="1853" w:type="dxa"/>
                  <w:vAlign w:val="center"/>
                </w:tcPr>
                <w:p w14:paraId="6D53BC7C">
                  <w:pPr>
                    <w:keepNext w:val="0"/>
                    <w:keepLines w:val="0"/>
                    <w:suppressLineNumbers w:val="0"/>
                    <w:spacing w:before="0" w:beforeAutospacing="0" w:after="0" w:afterAutospacing="0"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住户①</w:t>
                  </w:r>
                </w:p>
              </w:tc>
              <w:tc>
                <w:tcPr>
                  <w:tcW w:w="1421" w:type="dxa"/>
                  <w:vAlign w:val="center"/>
                </w:tcPr>
                <w:p w14:paraId="0EAD3DB4">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lang w:val="en-US" w:eastAsia="zh-CN"/>
                    </w:rPr>
                    <w:t>东南、</w:t>
                  </w:r>
                  <w:r>
                    <w:rPr>
                      <w:rFonts w:hint="eastAsia"/>
                      <w:bCs/>
                      <w:color w:val="auto"/>
                      <w:sz w:val="18"/>
                      <w:szCs w:val="18"/>
                    </w:rPr>
                    <w:t>55~110m</w:t>
                  </w:r>
                </w:p>
              </w:tc>
              <w:tc>
                <w:tcPr>
                  <w:tcW w:w="815" w:type="dxa"/>
                  <w:vAlign w:val="center"/>
                </w:tcPr>
                <w:p w14:paraId="06FCEB44">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lang w:val="en-US" w:eastAsia="zh-CN"/>
                    </w:rPr>
                    <w:t>居民</w:t>
                  </w:r>
                </w:p>
              </w:tc>
              <w:tc>
                <w:tcPr>
                  <w:tcW w:w="1150" w:type="dxa"/>
                  <w:vAlign w:val="center"/>
                </w:tcPr>
                <w:p w14:paraId="26AA696A">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15户、42人</w:t>
                  </w:r>
                </w:p>
              </w:tc>
              <w:tc>
                <w:tcPr>
                  <w:tcW w:w="1268" w:type="dxa"/>
                  <w:vMerge w:val="continue"/>
                  <w:vAlign w:val="center"/>
                </w:tcPr>
                <w:p w14:paraId="1EC05B59">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14:paraId="176DE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528" w:type="dxa"/>
                  <w:vAlign w:val="center"/>
                </w:tcPr>
                <w:p w14:paraId="26C63E81">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rPr>
                    <w:t>3</w:t>
                  </w:r>
                </w:p>
              </w:tc>
              <w:tc>
                <w:tcPr>
                  <w:tcW w:w="627" w:type="dxa"/>
                  <w:vMerge w:val="continue"/>
                  <w:vAlign w:val="center"/>
                </w:tcPr>
                <w:p w14:paraId="375BB4D3">
                  <w:pPr>
                    <w:keepNext w:val="0"/>
                    <w:keepLines w:val="0"/>
                    <w:suppressLineNumbers w:val="0"/>
                    <w:spacing w:before="0" w:beforeAutospacing="0" w:after="0" w:afterAutospacing="0" w:line="300" w:lineRule="exact"/>
                    <w:ind w:left="-50" w:leftChars="-24" w:right="-36" w:rightChars="-17"/>
                    <w:jc w:val="center"/>
                    <w:rPr>
                      <w:rFonts w:hint="default"/>
                      <w:bCs/>
                      <w:color w:val="auto"/>
                      <w:sz w:val="18"/>
                      <w:szCs w:val="18"/>
                    </w:rPr>
                  </w:pPr>
                </w:p>
              </w:tc>
              <w:tc>
                <w:tcPr>
                  <w:tcW w:w="1853" w:type="dxa"/>
                  <w:vAlign w:val="center"/>
                </w:tcPr>
                <w:p w14:paraId="79C796F3">
                  <w:pPr>
                    <w:keepNext w:val="0"/>
                    <w:keepLines w:val="0"/>
                    <w:suppressLineNumbers w:val="0"/>
                    <w:spacing w:before="0" w:beforeAutospacing="0" w:after="0" w:afterAutospacing="0" w:line="300" w:lineRule="exact"/>
                    <w:ind w:left="-53" w:leftChars="-25" w:right="-53" w:rightChars="-25"/>
                    <w:jc w:val="center"/>
                    <w:rPr>
                      <w:rFonts w:hint="default"/>
                      <w:bCs/>
                      <w:color w:val="auto"/>
                      <w:sz w:val="18"/>
                      <w:szCs w:val="18"/>
                    </w:rPr>
                  </w:pPr>
                  <w:r>
                    <w:rPr>
                      <w:rFonts w:hint="eastAsia"/>
                      <w:bCs/>
                      <w:color w:val="auto"/>
                      <w:sz w:val="18"/>
                      <w:szCs w:val="18"/>
                    </w:rPr>
                    <w:t>通川区罗江八一希望学校</w:t>
                  </w:r>
                </w:p>
              </w:tc>
              <w:tc>
                <w:tcPr>
                  <w:tcW w:w="1421" w:type="dxa"/>
                  <w:vAlign w:val="center"/>
                </w:tcPr>
                <w:p w14:paraId="1E2C1985">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东南、150m</w:t>
                  </w:r>
                </w:p>
              </w:tc>
              <w:tc>
                <w:tcPr>
                  <w:tcW w:w="815" w:type="dxa"/>
                  <w:vAlign w:val="center"/>
                </w:tcPr>
                <w:p w14:paraId="6178D0E4">
                  <w:pPr>
                    <w:keepNext w:val="0"/>
                    <w:keepLines w:val="0"/>
                    <w:suppressLineNumbers w:val="0"/>
                    <w:spacing w:before="0" w:beforeAutospacing="0" w:after="0" w:afterAutospacing="0" w:line="300" w:lineRule="exact"/>
                    <w:ind w:left="0" w:right="0"/>
                    <w:jc w:val="center"/>
                    <w:rPr>
                      <w:rFonts w:hint="eastAsia" w:eastAsia="宋体"/>
                      <w:bCs/>
                      <w:color w:val="auto"/>
                      <w:sz w:val="18"/>
                      <w:szCs w:val="18"/>
                      <w:lang w:val="en-US" w:eastAsia="zh-CN"/>
                    </w:rPr>
                  </w:pPr>
                  <w:r>
                    <w:rPr>
                      <w:rFonts w:hint="eastAsia"/>
                      <w:bCs/>
                      <w:color w:val="auto"/>
                      <w:sz w:val="18"/>
                      <w:szCs w:val="18"/>
                      <w:lang w:val="en-US" w:eastAsia="zh-CN"/>
                    </w:rPr>
                    <w:t>学校</w:t>
                  </w:r>
                </w:p>
              </w:tc>
              <w:tc>
                <w:tcPr>
                  <w:tcW w:w="1150" w:type="dxa"/>
                  <w:vAlign w:val="center"/>
                </w:tcPr>
                <w:p w14:paraId="4AB9BE6D">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1000人</w:t>
                  </w:r>
                </w:p>
              </w:tc>
              <w:tc>
                <w:tcPr>
                  <w:tcW w:w="1268" w:type="dxa"/>
                  <w:vMerge w:val="continue"/>
                  <w:vAlign w:val="center"/>
                </w:tcPr>
                <w:p w14:paraId="5C32C3D4">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14:paraId="3C1F8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528" w:type="dxa"/>
                  <w:vAlign w:val="center"/>
                </w:tcPr>
                <w:p w14:paraId="2390168F">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rPr>
                    <w:t>4</w:t>
                  </w:r>
                </w:p>
              </w:tc>
              <w:tc>
                <w:tcPr>
                  <w:tcW w:w="627" w:type="dxa"/>
                  <w:vMerge w:val="continue"/>
                  <w:vAlign w:val="center"/>
                </w:tcPr>
                <w:p w14:paraId="14139194">
                  <w:pPr>
                    <w:keepNext w:val="0"/>
                    <w:keepLines w:val="0"/>
                    <w:suppressLineNumbers w:val="0"/>
                    <w:spacing w:before="0" w:beforeAutospacing="0" w:after="0" w:afterAutospacing="0" w:line="300" w:lineRule="exact"/>
                    <w:ind w:left="-50" w:leftChars="-24" w:right="-36" w:rightChars="-17"/>
                    <w:jc w:val="center"/>
                    <w:rPr>
                      <w:rFonts w:hint="default"/>
                      <w:bCs/>
                      <w:color w:val="auto"/>
                      <w:sz w:val="18"/>
                      <w:szCs w:val="18"/>
                    </w:rPr>
                  </w:pPr>
                </w:p>
              </w:tc>
              <w:tc>
                <w:tcPr>
                  <w:tcW w:w="1853" w:type="dxa"/>
                  <w:vAlign w:val="center"/>
                </w:tcPr>
                <w:p w14:paraId="7EC5D5BE">
                  <w:pPr>
                    <w:keepNext w:val="0"/>
                    <w:keepLines w:val="0"/>
                    <w:suppressLineNumbers w:val="0"/>
                    <w:spacing w:before="0" w:beforeAutospacing="0" w:after="0" w:afterAutospacing="0"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住户②</w:t>
                  </w:r>
                </w:p>
              </w:tc>
              <w:tc>
                <w:tcPr>
                  <w:tcW w:w="1421" w:type="dxa"/>
                  <w:vAlign w:val="center"/>
                </w:tcPr>
                <w:p w14:paraId="4402B04E">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lang w:val="en-US" w:eastAsia="zh-CN"/>
                    </w:rPr>
                    <w:t>南、</w:t>
                  </w:r>
                  <w:r>
                    <w:rPr>
                      <w:rFonts w:hint="eastAsia"/>
                      <w:bCs/>
                      <w:color w:val="auto"/>
                      <w:sz w:val="18"/>
                      <w:szCs w:val="18"/>
                    </w:rPr>
                    <w:t>90~180m</w:t>
                  </w:r>
                </w:p>
              </w:tc>
              <w:tc>
                <w:tcPr>
                  <w:tcW w:w="815" w:type="dxa"/>
                  <w:vAlign w:val="center"/>
                </w:tcPr>
                <w:p w14:paraId="15D189D5">
                  <w:pPr>
                    <w:keepNext w:val="0"/>
                    <w:keepLines w:val="0"/>
                    <w:suppressLineNumbers w:val="0"/>
                    <w:spacing w:before="0" w:beforeAutospacing="0" w:after="0" w:afterAutospacing="0" w:line="300" w:lineRule="exact"/>
                    <w:ind w:left="0" w:right="0"/>
                    <w:jc w:val="center"/>
                    <w:rPr>
                      <w:rFonts w:hint="eastAsia" w:eastAsia="宋体"/>
                      <w:bCs/>
                      <w:color w:val="auto"/>
                      <w:sz w:val="18"/>
                      <w:szCs w:val="18"/>
                      <w:lang w:val="en-US" w:eastAsia="zh-CN"/>
                    </w:rPr>
                  </w:pPr>
                  <w:r>
                    <w:rPr>
                      <w:rFonts w:hint="eastAsia"/>
                      <w:bCs/>
                      <w:color w:val="auto"/>
                      <w:sz w:val="18"/>
                      <w:szCs w:val="18"/>
                      <w:lang w:val="en-US" w:eastAsia="zh-CN"/>
                    </w:rPr>
                    <w:t>居民</w:t>
                  </w:r>
                </w:p>
              </w:tc>
              <w:tc>
                <w:tcPr>
                  <w:tcW w:w="1150" w:type="dxa"/>
                  <w:vAlign w:val="center"/>
                </w:tcPr>
                <w:p w14:paraId="1C00D309">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4户、10人</w:t>
                  </w:r>
                </w:p>
              </w:tc>
              <w:tc>
                <w:tcPr>
                  <w:tcW w:w="1268" w:type="dxa"/>
                  <w:vMerge w:val="continue"/>
                  <w:vAlign w:val="center"/>
                </w:tcPr>
                <w:p w14:paraId="7AC00EB2">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14:paraId="03686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528" w:type="dxa"/>
                  <w:vAlign w:val="center"/>
                </w:tcPr>
                <w:p w14:paraId="4C872BDC">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rPr>
                    <w:t>5</w:t>
                  </w:r>
                </w:p>
              </w:tc>
              <w:tc>
                <w:tcPr>
                  <w:tcW w:w="627" w:type="dxa"/>
                  <w:vMerge w:val="continue"/>
                  <w:vAlign w:val="center"/>
                </w:tcPr>
                <w:p w14:paraId="371419C0">
                  <w:pPr>
                    <w:keepNext w:val="0"/>
                    <w:keepLines w:val="0"/>
                    <w:suppressLineNumbers w:val="0"/>
                    <w:spacing w:before="0" w:beforeAutospacing="0" w:after="0" w:afterAutospacing="0" w:line="300" w:lineRule="exact"/>
                    <w:ind w:left="-50" w:leftChars="-24" w:right="-36" w:rightChars="-17"/>
                    <w:jc w:val="center"/>
                    <w:rPr>
                      <w:rFonts w:hint="default"/>
                      <w:bCs/>
                      <w:color w:val="auto"/>
                      <w:sz w:val="18"/>
                      <w:szCs w:val="18"/>
                    </w:rPr>
                  </w:pPr>
                </w:p>
              </w:tc>
              <w:tc>
                <w:tcPr>
                  <w:tcW w:w="1853" w:type="dxa"/>
                  <w:vAlign w:val="center"/>
                </w:tcPr>
                <w:p w14:paraId="2A1221C6">
                  <w:pPr>
                    <w:keepNext w:val="0"/>
                    <w:keepLines w:val="0"/>
                    <w:suppressLineNumbers w:val="0"/>
                    <w:spacing w:before="0" w:beforeAutospacing="0" w:after="0" w:afterAutospacing="0"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罗江场镇</w:t>
                  </w:r>
                </w:p>
              </w:tc>
              <w:tc>
                <w:tcPr>
                  <w:tcW w:w="1421" w:type="dxa"/>
                  <w:vAlign w:val="center"/>
                </w:tcPr>
                <w:p w14:paraId="281BF82A">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南、260m</w:t>
                  </w:r>
                </w:p>
              </w:tc>
              <w:tc>
                <w:tcPr>
                  <w:tcW w:w="815" w:type="dxa"/>
                  <w:vAlign w:val="center"/>
                </w:tcPr>
                <w:p w14:paraId="0DE16384">
                  <w:pPr>
                    <w:keepNext w:val="0"/>
                    <w:keepLines w:val="0"/>
                    <w:suppressLineNumbers w:val="0"/>
                    <w:spacing w:before="0" w:beforeAutospacing="0" w:after="0" w:afterAutospacing="0" w:line="300" w:lineRule="exact"/>
                    <w:ind w:left="0" w:right="0"/>
                    <w:jc w:val="center"/>
                    <w:rPr>
                      <w:rFonts w:hint="eastAsia" w:eastAsia="宋体"/>
                      <w:bCs/>
                      <w:color w:val="auto"/>
                      <w:sz w:val="18"/>
                      <w:szCs w:val="18"/>
                      <w:lang w:val="en-US" w:eastAsia="zh-CN"/>
                    </w:rPr>
                  </w:pPr>
                  <w:r>
                    <w:rPr>
                      <w:rFonts w:hint="eastAsia"/>
                      <w:bCs/>
                      <w:color w:val="auto"/>
                      <w:sz w:val="18"/>
                      <w:szCs w:val="18"/>
                      <w:lang w:val="en-US" w:eastAsia="zh-CN"/>
                    </w:rPr>
                    <w:t>居民</w:t>
                  </w:r>
                </w:p>
              </w:tc>
              <w:tc>
                <w:tcPr>
                  <w:tcW w:w="1150" w:type="dxa"/>
                  <w:vAlign w:val="center"/>
                </w:tcPr>
                <w:p w14:paraId="1D71A031">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5000人</w:t>
                  </w:r>
                </w:p>
              </w:tc>
              <w:tc>
                <w:tcPr>
                  <w:tcW w:w="1268" w:type="dxa"/>
                  <w:vMerge w:val="continue"/>
                  <w:vAlign w:val="center"/>
                </w:tcPr>
                <w:p w14:paraId="3B7AA730">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14:paraId="1A70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528" w:type="dxa"/>
                  <w:vAlign w:val="center"/>
                </w:tcPr>
                <w:p w14:paraId="5C5C0596">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rPr>
                    <w:t>6</w:t>
                  </w:r>
                </w:p>
              </w:tc>
              <w:tc>
                <w:tcPr>
                  <w:tcW w:w="627" w:type="dxa"/>
                  <w:vMerge w:val="continue"/>
                  <w:vAlign w:val="center"/>
                </w:tcPr>
                <w:p w14:paraId="07CC7706">
                  <w:pPr>
                    <w:keepNext w:val="0"/>
                    <w:keepLines w:val="0"/>
                    <w:suppressLineNumbers w:val="0"/>
                    <w:spacing w:before="0" w:beforeAutospacing="0" w:after="0" w:afterAutospacing="0" w:line="300" w:lineRule="exact"/>
                    <w:ind w:left="-50" w:leftChars="-24" w:right="-36" w:rightChars="-17"/>
                    <w:jc w:val="center"/>
                    <w:rPr>
                      <w:rFonts w:hint="default"/>
                      <w:bCs/>
                      <w:color w:val="auto"/>
                      <w:sz w:val="18"/>
                      <w:szCs w:val="18"/>
                    </w:rPr>
                  </w:pPr>
                </w:p>
              </w:tc>
              <w:tc>
                <w:tcPr>
                  <w:tcW w:w="1853" w:type="dxa"/>
                  <w:vAlign w:val="center"/>
                </w:tcPr>
                <w:p w14:paraId="4585ED7D">
                  <w:pPr>
                    <w:keepNext w:val="0"/>
                    <w:keepLines w:val="0"/>
                    <w:suppressLineNumbers w:val="0"/>
                    <w:spacing w:before="0" w:beforeAutospacing="0" w:after="0" w:afterAutospacing="0"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住户③</w:t>
                  </w:r>
                </w:p>
              </w:tc>
              <w:tc>
                <w:tcPr>
                  <w:tcW w:w="1421" w:type="dxa"/>
                  <w:vAlign w:val="center"/>
                </w:tcPr>
                <w:p w14:paraId="6C768E1B">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lang w:val="en-US" w:eastAsia="zh-CN"/>
                    </w:rPr>
                    <w:t>西南、</w:t>
                  </w:r>
                  <w:r>
                    <w:rPr>
                      <w:rFonts w:hint="eastAsia"/>
                      <w:bCs/>
                      <w:color w:val="auto"/>
                      <w:sz w:val="18"/>
                      <w:szCs w:val="18"/>
                    </w:rPr>
                    <w:t>60~160m</w:t>
                  </w:r>
                </w:p>
              </w:tc>
              <w:tc>
                <w:tcPr>
                  <w:tcW w:w="815" w:type="dxa"/>
                  <w:vAlign w:val="center"/>
                </w:tcPr>
                <w:p w14:paraId="22EEE770">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lang w:val="en-US" w:eastAsia="zh-CN"/>
                    </w:rPr>
                    <w:t>居民</w:t>
                  </w:r>
                </w:p>
              </w:tc>
              <w:tc>
                <w:tcPr>
                  <w:tcW w:w="1150" w:type="dxa"/>
                  <w:vAlign w:val="center"/>
                </w:tcPr>
                <w:p w14:paraId="4A2259A7">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lang w:val="en-US" w:eastAsia="zh-CN"/>
                    </w:rPr>
                    <w:t>7户、16人</w:t>
                  </w:r>
                </w:p>
              </w:tc>
              <w:tc>
                <w:tcPr>
                  <w:tcW w:w="1268" w:type="dxa"/>
                  <w:vMerge w:val="continue"/>
                  <w:vAlign w:val="center"/>
                </w:tcPr>
                <w:p w14:paraId="18DDFB88">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14:paraId="668F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528" w:type="dxa"/>
                  <w:vAlign w:val="center"/>
                </w:tcPr>
                <w:p w14:paraId="793CB1F4">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rPr>
                    <w:t>7</w:t>
                  </w:r>
                </w:p>
              </w:tc>
              <w:tc>
                <w:tcPr>
                  <w:tcW w:w="627" w:type="dxa"/>
                  <w:vMerge w:val="continue"/>
                  <w:vAlign w:val="center"/>
                </w:tcPr>
                <w:p w14:paraId="7787BC67">
                  <w:pPr>
                    <w:keepNext w:val="0"/>
                    <w:keepLines w:val="0"/>
                    <w:suppressLineNumbers w:val="0"/>
                    <w:spacing w:before="0" w:beforeAutospacing="0" w:after="0" w:afterAutospacing="0" w:line="300" w:lineRule="exact"/>
                    <w:ind w:left="-50" w:leftChars="-24" w:right="-36" w:rightChars="-17"/>
                    <w:jc w:val="center"/>
                    <w:rPr>
                      <w:rFonts w:hint="default"/>
                      <w:bCs/>
                      <w:color w:val="auto"/>
                      <w:sz w:val="18"/>
                      <w:szCs w:val="18"/>
                    </w:rPr>
                  </w:pPr>
                </w:p>
              </w:tc>
              <w:tc>
                <w:tcPr>
                  <w:tcW w:w="1853" w:type="dxa"/>
                  <w:vAlign w:val="center"/>
                </w:tcPr>
                <w:p w14:paraId="795B0369">
                  <w:pPr>
                    <w:keepNext w:val="0"/>
                    <w:keepLines w:val="0"/>
                    <w:suppressLineNumbers w:val="0"/>
                    <w:spacing w:before="0" w:beforeAutospacing="0" w:after="0" w:afterAutospacing="0"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住户④</w:t>
                  </w:r>
                </w:p>
              </w:tc>
              <w:tc>
                <w:tcPr>
                  <w:tcW w:w="1421" w:type="dxa"/>
                  <w:vAlign w:val="center"/>
                </w:tcPr>
                <w:p w14:paraId="6BFC8E11">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西、70m</w:t>
                  </w:r>
                </w:p>
              </w:tc>
              <w:tc>
                <w:tcPr>
                  <w:tcW w:w="815" w:type="dxa"/>
                  <w:vAlign w:val="center"/>
                </w:tcPr>
                <w:p w14:paraId="0AF917B0">
                  <w:pPr>
                    <w:keepNext w:val="0"/>
                    <w:keepLines w:val="0"/>
                    <w:suppressLineNumbers w:val="0"/>
                    <w:spacing w:before="0" w:beforeAutospacing="0" w:after="0" w:afterAutospacing="0" w:line="300" w:lineRule="exact"/>
                    <w:ind w:left="0" w:right="0"/>
                    <w:jc w:val="center"/>
                    <w:rPr>
                      <w:rFonts w:hint="eastAsia" w:eastAsia="宋体"/>
                      <w:bCs/>
                      <w:color w:val="auto"/>
                      <w:sz w:val="18"/>
                      <w:szCs w:val="18"/>
                      <w:lang w:val="en-US" w:eastAsia="zh-CN"/>
                    </w:rPr>
                  </w:pPr>
                  <w:r>
                    <w:rPr>
                      <w:rFonts w:hint="eastAsia"/>
                      <w:bCs/>
                      <w:color w:val="auto"/>
                      <w:sz w:val="18"/>
                      <w:szCs w:val="18"/>
                      <w:lang w:val="en-US" w:eastAsia="zh-CN"/>
                    </w:rPr>
                    <w:t>居民</w:t>
                  </w:r>
                </w:p>
              </w:tc>
              <w:tc>
                <w:tcPr>
                  <w:tcW w:w="1150" w:type="dxa"/>
                  <w:vAlign w:val="center"/>
                </w:tcPr>
                <w:p w14:paraId="681A38B3">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16户、43人</w:t>
                  </w:r>
                </w:p>
              </w:tc>
              <w:tc>
                <w:tcPr>
                  <w:tcW w:w="1268" w:type="dxa"/>
                  <w:vMerge w:val="continue"/>
                  <w:vAlign w:val="center"/>
                </w:tcPr>
                <w:p w14:paraId="15B8F9BA">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14:paraId="380B6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528" w:type="dxa"/>
                  <w:vAlign w:val="center"/>
                </w:tcPr>
                <w:p w14:paraId="1E3B91E8">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rPr>
                    <w:t>8</w:t>
                  </w:r>
                </w:p>
              </w:tc>
              <w:tc>
                <w:tcPr>
                  <w:tcW w:w="627" w:type="dxa"/>
                  <w:vMerge w:val="continue"/>
                  <w:vAlign w:val="center"/>
                </w:tcPr>
                <w:p w14:paraId="12EFA394">
                  <w:pPr>
                    <w:keepNext w:val="0"/>
                    <w:keepLines w:val="0"/>
                    <w:suppressLineNumbers w:val="0"/>
                    <w:spacing w:before="0" w:beforeAutospacing="0" w:after="0" w:afterAutospacing="0" w:line="300" w:lineRule="exact"/>
                    <w:ind w:left="-50" w:leftChars="-24" w:right="-36" w:rightChars="-17"/>
                    <w:jc w:val="center"/>
                    <w:rPr>
                      <w:rFonts w:hint="default"/>
                      <w:bCs/>
                      <w:color w:val="auto"/>
                      <w:sz w:val="18"/>
                      <w:szCs w:val="18"/>
                    </w:rPr>
                  </w:pPr>
                </w:p>
              </w:tc>
              <w:tc>
                <w:tcPr>
                  <w:tcW w:w="1853" w:type="dxa"/>
                  <w:vAlign w:val="center"/>
                </w:tcPr>
                <w:p w14:paraId="2C88051A">
                  <w:pPr>
                    <w:keepNext w:val="0"/>
                    <w:keepLines w:val="0"/>
                    <w:suppressLineNumbers w:val="0"/>
                    <w:spacing w:before="0" w:beforeAutospacing="0" w:after="0" w:afterAutospacing="0"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住户⑤</w:t>
                  </w:r>
                </w:p>
              </w:tc>
              <w:tc>
                <w:tcPr>
                  <w:tcW w:w="1421" w:type="dxa"/>
                  <w:vAlign w:val="center"/>
                </w:tcPr>
                <w:p w14:paraId="192B26E6">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lang w:val="en-US" w:eastAsia="zh-CN"/>
                    </w:rPr>
                    <w:t>西、350m</w:t>
                  </w:r>
                </w:p>
              </w:tc>
              <w:tc>
                <w:tcPr>
                  <w:tcW w:w="815" w:type="dxa"/>
                  <w:vAlign w:val="center"/>
                </w:tcPr>
                <w:p w14:paraId="4FDC1868">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lang w:val="en-US" w:eastAsia="zh-CN"/>
                    </w:rPr>
                    <w:t>居民</w:t>
                  </w:r>
                </w:p>
              </w:tc>
              <w:tc>
                <w:tcPr>
                  <w:tcW w:w="1150" w:type="dxa"/>
                  <w:vAlign w:val="center"/>
                </w:tcPr>
                <w:p w14:paraId="6D7BC760">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lang w:val="en-US" w:eastAsia="zh-CN"/>
                    </w:rPr>
                    <w:t>16户、43人</w:t>
                  </w:r>
                </w:p>
              </w:tc>
              <w:tc>
                <w:tcPr>
                  <w:tcW w:w="1268" w:type="dxa"/>
                  <w:vMerge w:val="continue"/>
                  <w:vAlign w:val="center"/>
                </w:tcPr>
                <w:p w14:paraId="2D239C17">
                  <w:pPr>
                    <w:keepNext w:val="0"/>
                    <w:keepLines w:val="0"/>
                    <w:suppressLineNumbers w:val="0"/>
                    <w:spacing w:before="0" w:beforeAutospacing="0" w:after="0" w:afterAutospacing="0" w:line="300" w:lineRule="exact"/>
                    <w:ind w:left="0" w:right="0"/>
                    <w:jc w:val="center"/>
                    <w:rPr>
                      <w:rFonts w:hint="default"/>
                      <w:color w:val="auto"/>
                      <w:sz w:val="18"/>
                      <w:szCs w:val="18"/>
                    </w:rPr>
                  </w:pPr>
                </w:p>
              </w:tc>
            </w:tr>
            <w:tr w14:paraId="5046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528" w:type="dxa"/>
                  <w:vAlign w:val="center"/>
                </w:tcPr>
                <w:p w14:paraId="651EA47C">
                  <w:pPr>
                    <w:keepNext w:val="0"/>
                    <w:keepLines w:val="0"/>
                    <w:suppressLineNumbers w:val="0"/>
                    <w:spacing w:before="0" w:beforeAutospacing="0" w:after="0" w:afterAutospacing="0" w:line="300" w:lineRule="exact"/>
                    <w:ind w:left="0" w:right="0"/>
                    <w:jc w:val="center"/>
                    <w:rPr>
                      <w:rFonts w:hint="default"/>
                      <w:bCs/>
                      <w:color w:val="auto"/>
                      <w:sz w:val="18"/>
                      <w:szCs w:val="18"/>
                    </w:rPr>
                  </w:pPr>
                  <w:r>
                    <w:rPr>
                      <w:rFonts w:hint="eastAsia"/>
                      <w:bCs/>
                      <w:color w:val="auto"/>
                      <w:sz w:val="18"/>
                      <w:szCs w:val="18"/>
                    </w:rPr>
                    <w:t>9</w:t>
                  </w:r>
                </w:p>
              </w:tc>
              <w:tc>
                <w:tcPr>
                  <w:tcW w:w="627" w:type="dxa"/>
                  <w:vMerge w:val="continue"/>
                  <w:vAlign w:val="center"/>
                </w:tcPr>
                <w:p w14:paraId="2DC202E2">
                  <w:pPr>
                    <w:keepNext w:val="0"/>
                    <w:keepLines w:val="0"/>
                    <w:suppressLineNumbers w:val="0"/>
                    <w:spacing w:before="0" w:beforeAutospacing="0" w:after="0" w:afterAutospacing="0" w:line="300" w:lineRule="exact"/>
                    <w:ind w:left="-50" w:leftChars="-24" w:right="-36" w:rightChars="-17"/>
                    <w:jc w:val="center"/>
                    <w:rPr>
                      <w:rFonts w:hint="default"/>
                      <w:bCs/>
                      <w:color w:val="auto"/>
                      <w:sz w:val="18"/>
                      <w:szCs w:val="18"/>
                    </w:rPr>
                  </w:pPr>
                </w:p>
              </w:tc>
              <w:tc>
                <w:tcPr>
                  <w:tcW w:w="1853" w:type="dxa"/>
                  <w:vAlign w:val="center"/>
                </w:tcPr>
                <w:p w14:paraId="63B1428D">
                  <w:pPr>
                    <w:keepNext w:val="0"/>
                    <w:keepLines w:val="0"/>
                    <w:suppressLineNumbers w:val="0"/>
                    <w:spacing w:before="0" w:beforeAutospacing="0" w:after="0" w:afterAutospacing="0" w:line="300" w:lineRule="exact"/>
                    <w:ind w:left="-53" w:leftChars="-25" w:right="-53" w:rightChars="-25"/>
                    <w:jc w:val="center"/>
                    <w:rPr>
                      <w:rFonts w:hint="default" w:eastAsia="宋体"/>
                      <w:bCs/>
                      <w:color w:val="auto"/>
                      <w:sz w:val="18"/>
                      <w:szCs w:val="18"/>
                      <w:lang w:val="en-US" w:eastAsia="zh-CN"/>
                    </w:rPr>
                  </w:pPr>
                  <w:r>
                    <w:rPr>
                      <w:rFonts w:hint="eastAsia"/>
                      <w:bCs/>
                      <w:color w:val="auto"/>
                      <w:sz w:val="18"/>
                      <w:szCs w:val="18"/>
                      <w:lang w:val="en-US" w:eastAsia="zh-CN"/>
                    </w:rPr>
                    <w:t>海惠老年颐养中心</w:t>
                  </w:r>
                </w:p>
              </w:tc>
              <w:tc>
                <w:tcPr>
                  <w:tcW w:w="1421" w:type="dxa"/>
                  <w:vAlign w:val="center"/>
                </w:tcPr>
                <w:p w14:paraId="046C8581">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东北、410m</w:t>
                  </w:r>
                </w:p>
              </w:tc>
              <w:tc>
                <w:tcPr>
                  <w:tcW w:w="815" w:type="dxa"/>
                  <w:vAlign w:val="center"/>
                </w:tcPr>
                <w:p w14:paraId="254CC5D6">
                  <w:pPr>
                    <w:keepNext w:val="0"/>
                    <w:keepLines w:val="0"/>
                    <w:suppressLineNumbers w:val="0"/>
                    <w:spacing w:before="0" w:beforeAutospacing="0" w:after="0" w:afterAutospacing="0" w:line="300" w:lineRule="exact"/>
                    <w:ind w:left="0" w:right="0"/>
                    <w:jc w:val="center"/>
                    <w:rPr>
                      <w:rFonts w:hint="eastAsia" w:eastAsia="宋体"/>
                      <w:bCs/>
                      <w:color w:val="auto"/>
                      <w:sz w:val="18"/>
                      <w:szCs w:val="18"/>
                      <w:lang w:val="en-US" w:eastAsia="zh-CN"/>
                    </w:rPr>
                  </w:pPr>
                  <w:r>
                    <w:rPr>
                      <w:rFonts w:hint="eastAsia"/>
                      <w:bCs/>
                      <w:color w:val="auto"/>
                      <w:sz w:val="18"/>
                      <w:szCs w:val="18"/>
                      <w:lang w:val="en-US" w:eastAsia="zh-CN"/>
                    </w:rPr>
                    <w:t>养老院</w:t>
                  </w:r>
                </w:p>
              </w:tc>
              <w:tc>
                <w:tcPr>
                  <w:tcW w:w="1150" w:type="dxa"/>
                  <w:vAlign w:val="center"/>
                </w:tcPr>
                <w:p w14:paraId="29171AA1">
                  <w:pPr>
                    <w:keepNext w:val="0"/>
                    <w:keepLines w:val="0"/>
                    <w:suppressLineNumbers w:val="0"/>
                    <w:spacing w:before="0" w:beforeAutospacing="0" w:after="0" w:afterAutospacing="0" w:line="30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600人</w:t>
                  </w:r>
                </w:p>
              </w:tc>
              <w:tc>
                <w:tcPr>
                  <w:tcW w:w="1268" w:type="dxa"/>
                  <w:vMerge w:val="continue"/>
                  <w:vAlign w:val="center"/>
                </w:tcPr>
                <w:p w14:paraId="1C9D6DE1">
                  <w:pPr>
                    <w:keepNext w:val="0"/>
                    <w:keepLines w:val="0"/>
                    <w:suppressLineNumbers w:val="0"/>
                    <w:spacing w:before="0" w:beforeAutospacing="0" w:after="0" w:afterAutospacing="0" w:line="300" w:lineRule="exact"/>
                    <w:ind w:left="0" w:right="0"/>
                    <w:jc w:val="center"/>
                    <w:rPr>
                      <w:rFonts w:hint="default"/>
                      <w:color w:val="auto"/>
                      <w:sz w:val="18"/>
                      <w:szCs w:val="18"/>
                    </w:rPr>
                  </w:pPr>
                </w:p>
              </w:tc>
            </w:tr>
          </w:tbl>
          <w:p w14:paraId="6AAA38DD">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eastAsia="黑体" w:cs="宋体"/>
                <w:bCs/>
                <w:color w:val="auto"/>
              </w:rPr>
            </w:pPr>
            <w:r>
              <w:rPr>
                <w:rFonts w:hint="default" w:eastAsia="黑体" w:cs="宋体"/>
                <w:bCs/>
                <w:color w:val="auto"/>
              </w:rPr>
              <w:t>2</w:t>
            </w:r>
            <w:r>
              <w:rPr>
                <w:rFonts w:hint="eastAsia" w:eastAsia="黑体" w:cs="宋体"/>
                <w:bCs/>
                <w:color w:val="auto"/>
              </w:rPr>
              <w:t>、声环境</w:t>
            </w:r>
          </w:p>
          <w:p w14:paraId="06FE0FD4">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 w:val="24"/>
                <w:szCs w:val="21"/>
              </w:rPr>
            </w:pPr>
            <w:r>
              <w:rPr>
                <w:rFonts w:hint="eastAsia" w:cs="宋体"/>
                <w:color w:val="auto"/>
                <w:kern w:val="0"/>
                <w:szCs w:val="21"/>
              </w:rPr>
              <w:t>项目场界外</w:t>
            </w:r>
            <w:r>
              <w:rPr>
                <w:rFonts w:hint="default" w:cs="宋体"/>
                <w:color w:val="auto"/>
                <w:kern w:val="0"/>
                <w:szCs w:val="21"/>
              </w:rPr>
              <w:t>50</w:t>
            </w:r>
            <w:r>
              <w:rPr>
                <w:rFonts w:hint="eastAsia" w:cs="宋体"/>
                <w:color w:val="auto"/>
                <w:kern w:val="0"/>
                <w:szCs w:val="21"/>
              </w:rPr>
              <w:t>米范围内</w:t>
            </w:r>
            <w:r>
              <w:rPr>
                <w:rFonts w:hint="eastAsia" w:cs="宋体"/>
                <w:color w:val="auto"/>
                <w:kern w:val="0"/>
                <w:szCs w:val="21"/>
                <w:lang w:val="en-US" w:eastAsia="zh-CN"/>
              </w:rPr>
              <w:t>无</w:t>
            </w:r>
            <w:r>
              <w:rPr>
                <w:rFonts w:hint="eastAsia" w:cs="宋体"/>
                <w:color w:val="auto"/>
                <w:kern w:val="0"/>
                <w:szCs w:val="21"/>
              </w:rPr>
              <w:t>声环境保护目标。</w:t>
            </w:r>
          </w:p>
          <w:p w14:paraId="43CA8C6D">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eastAsia="黑体" w:cs="宋体"/>
                <w:bCs/>
                <w:color w:val="auto"/>
              </w:rPr>
            </w:pPr>
            <w:r>
              <w:rPr>
                <w:rFonts w:hint="default" w:eastAsia="黑体" w:cs="宋体"/>
                <w:bCs/>
                <w:color w:val="auto"/>
              </w:rPr>
              <w:t>3</w:t>
            </w:r>
            <w:r>
              <w:rPr>
                <w:rFonts w:hint="eastAsia" w:eastAsia="黑体" w:cs="宋体"/>
                <w:bCs/>
                <w:color w:val="auto"/>
              </w:rPr>
              <w:t>、地表水环境</w:t>
            </w:r>
          </w:p>
          <w:p w14:paraId="04669116">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rPr>
                <w:rFonts w:hint="default" w:ascii="宋体" w:hAnsi="宋体"/>
                <w:color w:val="auto"/>
                <w:kern w:val="0"/>
              </w:rPr>
            </w:pPr>
            <w:r>
              <w:rPr>
                <w:rFonts w:hint="default" w:ascii="宋体" w:hAnsi="宋体"/>
                <w:color w:val="auto"/>
                <w:kern w:val="0"/>
              </w:rPr>
              <w:t>本项目</w:t>
            </w:r>
            <w:r>
              <w:rPr>
                <w:rFonts w:hint="eastAsia" w:ascii="宋体" w:hAnsi="宋体"/>
                <w:color w:val="auto"/>
                <w:kern w:val="0"/>
              </w:rPr>
              <w:t>废水经</w:t>
            </w:r>
            <w:r>
              <w:rPr>
                <w:rFonts w:hint="eastAsia" w:ascii="宋体" w:hAnsi="宋体"/>
                <w:color w:val="auto"/>
                <w:kern w:val="0"/>
                <w:lang w:val="en-US" w:eastAsia="zh-CN"/>
              </w:rPr>
              <w:t>自建污水处理站处理达标后，经自建污水</w:t>
            </w:r>
            <w:r>
              <w:rPr>
                <w:rFonts w:hint="eastAsia" w:ascii="宋体" w:hAnsi="宋体"/>
                <w:color w:val="auto"/>
                <w:kern w:val="0"/>
              </w:rPr>
              <w:t>管网排至</w:t>
            </w:r>
            <w:r>
              <w:rPr>
                <w:rFonts w:hint="eastAsia" w:ascii="宋体" w:hAnsi="宋体"/>
                <w:color w:val="auto"/>
                <w:kern w:val="0"/>
                <w:lang w:val="en-US" w:eastAsia="zh-CN"/>
              </w:rPr>
              <w:t>南面的罗江镇场镇污水管网，</w:t>
            </w:r>
            <w:r>
              <w:rPr>
                <w:rFonts w:hint="eastAsia" w:ascii="宋体" w:hAnsi="宋体"/>
                <w:color w:val="auto"/>
                <w:kern w:val="0"/>
              </w:rPr>
              <w:t>最终</w:t>
            </w:r>
            <w:r>
              <w:rPr>
                <w:rFonts w:hint="eastAsia" w:ascii="宋体" w:hAnsi="宋体"/>
                <w:color w:val="auto"/>
                <w:kern w:val="0"/>
                <w:lang w:val="en-US" w:eastAsia="zh-CN"/>
              </w:rPr>
              <w:t>进入罗江镇场镇生活污水处理厂处理后达标排入</w:t>
            </w:r>
            <w:r>
              <w:rPr>
                <w:rFonts w:hint="eastAsia" w:ascii="宋体" w:hAnsi="宋体"/>
                <w:color w:val="auto"/>
                <w:kern w:val="0"/>
              </w:rPr>
              <w:t>州</w:t>
            </w:r>
            <w:r>
              <w:rPr>
                <w:rFonts w:hint="default" w:ascii="宋体" w:hAnsi="宋体"/>
                <w:color w:val="auto"/>
                <w:kern w:val="0"/>
              </w:rPr>
              <w:t>河。</w:t>
            </w:r>
          </w:p>
          <w:p w14:paraId="32ECB3B6">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rPr>
                <w:rFonts w:hint="default" w:ascii="宋体" w:hAnsi="宋体"/>
                <w:color w:val="auto"/>
                <w:kern w:val="0"/>
              </w:rPr>
            </w:pPr>
            <w:r>
              <w:rPr>
                <w:rFonts w:hint="eastAsia" w:ascii="宋体" w:hAnsi="宋体"/>
                <w:color w:val="auto"/>
                <w:kern w:val="0"/>
              </w:rPr>
              <w:t>根据达州市人民政府《关于通川区乡镇集中式饮用水源地保护区划定调整的批复》（达市府函﹝2019﹞165号），罗江镇州河山柳社区饮用水源于州河取水，</w:t>
            </w:r>
            <w:r>
              <w:rPr>
                <w:rFonts w:hint="eastAsia" w:ascii="宋体" w:hAnsi="宋体"/>
                <w:color w:val="auto"/>
                <w:kern w:val="0"/>
                <w:lang w:val="en-US" w:eastAsia="zh-CN"/>
              </w:rPr>
              <w:t>取水口坐标（107°31′55″,31°18′17″），饮用水源保护区</w:t>
            </w:r>
            <w:r>
              <w:rPr>
                <w:rFonts w:hint="eastAsia" w:ascii="宋体" w:hAnsi="宋体"/>
                <w:color w:val="auto"/>
                <w:kern w:val="0"/>
              </w:rPr>
              <w:t>陆域</w:t>
            </w:r>
            <w:r>
              <w:rPr>
                <w:rFonts w:hint="eastAsia" w:ascii="宋体" w:hAnsi="宋体"/>
                <w:color w:val="auto"/>
                <w:kern w:val="0"/>
                <w:lang w:val="en-US" w:eastAsia="zh-CN"/>
              </w:rPr>
              <w:t>范围</w:t>
            </w:r>
            <w:r>
              <w:rPr>
                <w:rFonts w:hint="eastAsia" w:ascii="宋体" w:hAnsi="宋体"/>
                <w:color w:val="auto"/>
                <w:kern w:val="0"/>
              </w:rPr>
              <w:t>为河岸两侧纵深200m的区域。</w:t>
            </w:r>
            <w:r>
              <w:rPr>
                <w:rFonts w:hint="eastAsia" w:ascii="宋体" w:hAnsi="宋体"/>
                <w:color w:val="auto"/>
                <w:kern w:val="0"/>
                <w:lang w:val="en-US" w:eastAsia="zh-CN"/>
              </w:rPr>
              <w:t>本项目距离州河河岸450m，与</w:t>
            </w:r>
            <w:r>
              <w:rPr>
                <w:rFonts w:hint="eastAsia" w:ascii="宋体" w:hAnsi="宋体"/>
                <w:color w:val="auto"/>
                <w:kern w:val="0"/>
              </w:rPr>
              <w:t>罗江镇州河山柳社区一级保护区陆域最近距离约</w:t>
            </w:r>
            <w:r>
              <w:rPr>
                <w:rFonts w:hint="eastAsia" w:ascii="宋体" w:hAnsi="宋体"/>
                <w:color w:val="auto"/>
                <w:kern w:val="0"/>
                <w:lang w:val="en-US" w:eastAsia="zh-CN"/>
              </w:rPr>
              <w:t>250</w:t>
            </w:r>
            <w:r>
              <w:rPr>
                <w:rFonts w:hint="eastAsia" w:ascii="宋体" w:hAnsi="宋体"/>
                <w:color w:val="auto"/>
                <w:kern w:val="0"/>
              </w:rPr>
              <w:t>m</w:t>
            </w:r>
            <w:r>
              <w:rPr>
                <w:rFonts w:hint="eastAsia" w:ascii="宋体" w:hAnsi="宋体"/>
                <w:color w:val="auto"/>
                <w:kern w:val="0"/>
                <w:lang w:eastAsia="zh-CN"/>
              </w:rPr>
              <w:t>，</w:t>
            </w:r>
            <w:r>
              <w:rPr>
                <w:rFonts w:hint="eastAsia" w:ascii="宋体" w:hAnsi="宋体"/>
                <w:color w:val="auto"/>
                <w:kern w:val="0"/>
              </w:rPr>
              <w:t>不</w:t>
            </w:r>
            <w:r>
              <w:rPr>
                <w:rFonts w:hint="eastAsia" w:ascii="宋体" w:hAnsi="宋体"/>
                <w:color w:val="auto"/>
                <w:kern w:val="0"/>
                <w:lang w:val="en-US" w:eastAsia="zh-CN"/>
              </w:rPr>
              <w:t>属于</w:t>
            </w:r>
            <w:r>
              <w:rPr>
                <w:rFonts w:hint="eastAsia" w:ascii="宋体" w:hAnsi="宋体"/>
                <w:color w:val="auto"/>
                <w:kern w:val="0"/>
              </w:rPr>
              <w:t>饮用水源保护区。</w:t>
            </w:r>
          </w:p>
          <w:p w14:paraId="5AFBB5B6">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rPr>
                <w:rFonts w:hint="default"/>
                <w:color w:val="auto"/>
                <w:kern w:val="0"/>
              </w:rPr>
            </w:pPr>
            <w:r>
              <w:rPr>
                <w:rFonts w:hint="eastAsia" w:ascii="宋体" w:hAnsi="宋体"/>
                <w:color w:val="auto"/>
                <w:kern w:val="0"/>
                <w:lang w:val="en-US" w:eastAsia="zh-CN"/>
              </w:rPr>
              <w:t>因此，</w:t>
            </w:r>
            <w:r>
              <w:rPr>
                <w:rFonts w:hint="eastAsia" w:ascii="宋体" w:hAnsi="宋体"/>
                <w:color w:val="auto"/>
                <w:kern w:val="0"/>
              </w:rPr>
              <w:t>项目评价范围内无</w:t>
            </w:r>
            <w:r>
              <w:rPr>
                <w:rFonts w:hint="default" w:ascii="宋体" w:hAnsi="宋体"/>
                <w:color w:val="auto"/>
                <w:kern w:val="0"/>
              </w:rPr>
              <w:t>饮用水水源保护区、饮用水取水口，涉水的自然保护区、风景名胜区，重要湿地、重点保护与珍稀水生生物的栖息地、重要水生生物的自然产卵场及索饵场、越冬场和洄游通道，天然渔场等渔业水体，以及水产种质资源保护区等</w:t>
            </w:r>
            <w:r>
              <w:rPr>
                <w:rFonts w:hint="eastAsia" w:ascii="宋体" w:hAnsi="宋体"/>
                <w:color w:val="auto"/>
                <w:kern w:val="0"/>
              </w:rPr>
              <w:t>水</w:t>
            </w:r>
            <w:r>
              <w:rPr>
                <w:rFonts w:hint="default" w:ascii="宋体" w:hAnsi="宋体"/>
                <w:color w:val="auto"/>
                <w:kern w:val="0"/>
              </w:rPr>
              <w:t>环境保护目标</w:t>
            </w:r>
            <w:r>
              <w:rPr>
                <w:rFonts w:hint="eastAsia" w:ascii="宋体" w:hAnsi="宋体"/>
                <w:color w:val="auto"/>
                <w:kern w:val="0"/>
              </w:rPr>
              <w:t>。</w:t>
            </w:r>
            <w:r>
              <w:rPr>
                <w:rFonts w:hint="default" w:ascii="宋体" w:hAnsi="宋体"/>
                <w:color w:val="auto"/>
                <w:kern w:val="0"/>
              </w:rPr>
              <w:t>地表水</w:t>
            </w:r>
            <w:r>
              <w:rPr>
                <w:rFonts w:hint="eastAsia" w:ascii="宋体" w:hAnsi="宋体"/>
                <w:color w:val="auto"/>
                <w:kern w:val="0"/>
              </w:rPr>
              <w:t>环境</w:t>
            </w:r>
            <w:r>
              <w:rPr>
                <w:rFonts w:hint="default" w:ascii="宋体" w:hAnsi="宋体"/>
                <w:color w:val="auto"/>
                <w:kern w:val="0"/>
              </w:rPr>
              <w:t>主要保护</w:t>
            </w:r>
            <w:r>
              <w:rPr>
                <w:rFonts w:hint="eastAsia" w:ascii="宋体" w:hAnsi="宋体"/>
                <w:color w:val="auto"/>
                <w:kern w:val="0"/>
              </w:rPr>
              <w:t>州</w:t>
            </w:r>
            <w:r>
              <w:rPr>
                <w:rFonts w:hint="default" w:ascii="宋体" w:hAnsi="宋体"/>
                <w:color w:val="auto"/>
                <w:kern w:val="0"/>
              </w:rPr>
              <w:t>河水质满足《地表水质量标准》（</w:t>
            </w:r>
            <w:r>
              <w:rPr>
                <w:rFonts w:hint="default"/>
                <w:color w:val="auto"/>
                <w:kern w:val="0"/>
              </w:rPr>
              <w:t>GB 3838-2002</w:t>
            </w:r>
            <w:r>
              <w:rPr>
                <w:rFonts w:hint="default" w:ascii="宋体" w:hAnsi="宋体"/>
                <w:color w:val="auto"/>
                <w:kern w:val="0"/>
              </w:rPr>
              <w:t>）</w:t>
            </w:r>
            <w:r>
              <w:rPr>
                <w:rFonts w:hint="default"/>
                <w:color w:val="auto"/>
                <w:kern w:val="0"/>
              </w:rPr>
              <w:t>Ⅲ</w:t>
            </w:r>
            <w:r>
              <w:rPr>
                <w:rFonts w:hint="default" w:ascii="宋体" w:hAnsi="宋体"/>
                <w:color w:val="auto"/>
                <w:kern w:val="0"/>
              </w:rPr>
              <w:t>类水质标准。</w:t>
            </w:r>
          </w:p>
          <w:p w14:paraId="5C691804">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eastAsia="黑体" w:cs="宋体"/>
                <w:bCs/>
                <w:color w:val="auto"/>
              </w:rPr>
            </w:pPr>
            <w:r>
              <w:rPr>
                <w:rFonts w:hint="eastAsia" w:eastAsia="黑体" w:cs="宋体"/>
                <w:bCs/>
                <w:color w:val="auto"/>
              </w:rPr>
              <w:t>4、地下水环境</w:t>
            </w:r>
          </w:p>
          <w:p w14:paraId="2F98D22A">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根据调查，项目场界外</w:t>
            </w:r>
            <w:r>
              <w:rPr>
                <w:rFonts w:hint="default" w:cs="宋体"/>
                <w:color w:val="auto"/>
                <w:kern w:val="0"/>
                <w:szCs w:val="21"/>
              </w:rPr>
              <w:t>500</w:t>
            </w:r>
            <w:r>
              <w:rPr>
                <w:rFonts w:hint="eastAsia" w:cs="宋体"/>
                <w:color w:val="auto"/>
                <w:kern w:val="0"/>
                <w:szCs w:val="21"/>
              </w:rPr>
              <w:t>米范围内的无地下水集中式饮用水水源和热水、矿泉水、温泉等特殊地下水资源。</w:t>
            </w:r>
          </w:p>
          <w:p w14:paraId="7B03BBBB">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bCs/>
                <w:color w:val="auto"/>
              </w:rPr>
            </w:pPr>
            <w:r>
              <w:rPr>
                <w:rFonts w:hint="eastAsia" w:eastAsia="黑体" w:cs="宋体"/>
                <w:bCs/>
                <w:color w:val="auto"/>
              </w:rPr>
              <w:t>5、生态环境</w:t>
            </w:r>
          </w:p>
          <w:p w14:paraId="5B750EB4">
            <w:pPr>
              <w:pStyle w:val="2"/>
              <w:keepNext w:val="0"/>
              <w:keepLines w:val="0"/>
              <w:suppressLineNumbers w:val="0"/>
              <w:spacing w:before="0" w:beforeAutospacing="0" w:after="0" w:afterAutospacing="0" w:line="400" w:lineRule="exact"/>
              <w:ind w:left="10" w:leftChars="5" w:right="0" w:firstLine="420" w:firstLineChars="200"/>
              <w:jc w:val="left"/>
              <w:rPr>
                <w:rFonts w:hint="default"/>
                <w:color w:val="auto"/>
              </w:rPr>
            </w:pPr>
            <w:r>
              <w:rPr>
                <w:rFonts w:hint="eastAsia" w:cs="宋体"/>
                <w:color w:val="auto"/>
                <w:kern w:val="0"/>
                <w:szCs w:val="21"/>
              </w:rPr>
              <w:t>根据现场调查，项目建设区域内不涉及自然保护区、森林公园及风景名胜区、生活饮用水水源保护区及其他需要特别保护区域，区域内无国家保护的重点野生动植物，无名木古树及珍稀动植物等，无特殊文物保护单位。</w:t>
            </w:r>
          </w:p>
        </w:tc>
      </w:tr>
      <w:tr w14:paraId="3C5882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799"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14:paraId="3BF80E5C">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污染</w:t>
            </w:r>
          </w:p>
          <w:p w14:paraId="5CA17359">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物排</w:t>
            </w:r>
          </w:p>
          <w:p w14:paraId="79AD5211">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放控</w:t>
            </w:r>
          </w:p>
          <w:p w14:paraId="2053139F">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制标</w:t>
            </w:r>
          </w:p>
          <w:p w14:paraId="5414313E">
            <w:pPr>
              <w:keepNext w:val="0"/>
              <w:keepLines w:val="0"/>
              <w:suppressLineNumbers w:val="0"/>
              <w:adjustRightInd w:val="0"/>
              <w:snapToGrid w:val="0"/>
              <w:spacing w:before="0" w:beforeAutospacing="0" w:after="0" w:afterAutospacing="0"/>
              <w:ind w:left="0" w:right="0"/>
              <w:jc w:val="center"/>
              <w:rPr>
                <w:rFonts w:hint="default" w:cs="宋体"/>
                <w:color w:val="auto"/>
                <w:kern w:val="0"/>
                <w:szCs w:val="21"/>
              </w:rPr>
            </w:pPr>
            <w:r>
              <w:rPr>
                <w:rFonts w:hint="eastAsia" w:cs="宋体"/>
                <w:color w:val="auto"/>
                <w:kern w:val="0"/>
                <w:szCs w:val="21"/>
              </w:rPr>
              <w:t>准</w:t>
            </w:r>
          </w:p>
        </w:tc>
        <w:tc>
          <w:tcPr>
            <w:tcW w:w="8115" w:type="dxa"/>
            <w:tcBorders>
              <w:top w:val="single" w:color="auto" w:sz="4" w:space="0"/>
              <w:left w:val="single" w:color="auto" w:sz="4" w:space="0"/>
              <w:bottom w:val="single" w:color="auto" w:sz="4" w:space="0"/>
              <w:right w:val="single" w:color="auto" w:sz="8" w:space="0"/>
            </w:tcBorders>
            <w:vAlign w:val="center"/>
          </w:tcPr>
          <w:p w14:paraId="54ED9259">
            <w:pPr>
              <w:keepNext w:val="0"/>
              <w:keepLines w:val="0"/>
              <w:suppressLineNumbers w:val="0"/>
              <w:snapToGrid w:val="0"/>
              <w:spacing w:before="0" w:beforeAutospacing="0" w:after="0" w:afterAutospacing="0" w:line="400" w:lineRule="exact"/>
              <w:ind w:left="0" w:right="0"/>
              <w:rPr>
                <w:rFonts w:hint="default"/>
                <w:color w:val="auto"/>
                <w:szCs w:val="21"/>
              </w:rPr>
            </w:pPr>
            <w:r>
              <w:rPr>
                <w:rFonts w:hint="default"/>
                <w:color w:val="auto"/>
                <w:szCs w:val="21"/>
              </w:rPr>
              <w:t>1.大气污染物：施工期扬尘执行</w:t>
            </w:r>
            <w:r>
              <w:rPr>
                <w:rFonts w:hint="eastAsia"/>
                <w:color w:val="auto"/>
                <w:szCs w:val="21"/>
              </w:rPr>
              <w:t>《四川省施工场地扬尘排放标准》（DB512682-2020）。</w:t>
            </w:r>
          </w:p>
          <w:p w14:paraId="0961A4E2">
            <w:pPr>
              <w:keepNext w:val="0"/>
              <w:keepLines w:val="0"/>
              <w:suppressLineNumbers w:val="0"/>
              <w:autoSpaceDE w:val="0"/>
              <w:autoSpaceDN w:val="0"/>
              <w:adjustRightInd w:val="0"/>
              <w:snapToGrid w:val="0"/>
              <w:spacing w:before="0" w:beforeAutospacing="0" w:after="0" w:afterAutospacing="0" w:line="320" w:lineRule="exact"/>
              <w:ind w:left="0" w:right="0"/>
              <w:jc w:val="center"/>
              <w:rPr>
                <w:rFonts w:hint="default" w:eastAsia="黑体"/>
                <w:color w:val="auto"/>
                <w:kern w:val="0"/>
                <w:sz w:val="20"/>
                <w:szCs w:val="20"/>
              </w:rPr>
            </w:pPr>
            <w:r>
              <w:rPr>
                <w:rFonts w:hint="default" w:ascii="黑体" w:hAnsi="黑体" w:eastAsia="黑体"/>
                <w:color w:val="auto"/>
                <w:kern w:val="0"/>
                <w:sz w:val="20"/>
                <w:szCs w:val="20"/>
              </w:rPr>
              <w:t>表</w:t>
            </w:r>
            <w:r>
              <w:rPr>
                <w:rFonts w:hint="default" w:eastAsia="黑体"/>
                <w:color w:val="auto"/>
                <w:kern w:val="0"/>
                <w:sz w:val="20"/>
                <w:szCs w:val="20"/>
              </w:rPr>
              <w:t>3-</w:t>
            </w:r>
            <w:r>
              <w:rPr>
                <w:rFonts w:hint="eastAsia" w:eastAsia="黑体"/>
                <w:color w:val="auto"/>
                <w:kern w:val="0"/>
                <w:sz w:val="20"/>
                <w:szCs w:val="20"/>
                <w:lang w:val="en-US" w:eastAsia="zh-CN"/>
              </w:rPr>
              <w:t>5</w:t>
            </w:r>
            <w:r>
              <w:rPr>
                <w:rFonts w:hint="eastAsia" w:eastAsia="黑体"/>
                <w:color w:val="auto"/>
                <w:kern w:val="0"/>
                <w:sz w:val="20"/>
                <w:szCs w:val="20"/>
              </w:rPr>
              <w:t xml:space="preserve">  </w:t>
            </w:r>
            <w:r>
              <w:rPr>
                <w:rFonts w:hint="default" w:eastAsia="黑体"/>
                <w:color w:val="auto"/>
                <w:kern w:val="0"/>
                <w:sz w:val="20"/>
                <w:szCs w:val="20"/>
              </w:rPr>
              <w:t xml:space="preserve">  </w:t>
            </w:r>
            <w:r>
              <w:rPr>
                <w:rFonts w:hint="default" w:ascii="黑体" w:hAnsi="黑体" w:eastAsia="黑体"/>
                <w:color w:val="auto"/>
                <w:kern w:val="0"/>
                <w:sz w:val="20"/>
                <w:szCs w:val="20"/>
              </w:rPr>
              <w:t>四川省施工场地扬尘排放限值</w:t>
            </w:r>
          </w:p>
          <w:tbl>
            <w:tblPr>
              <w:tblStyle w:val="13"/>
              <w:tblW w:w="7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3187"/>
              <w:gridCol w:w="1441"/>
              <w:gridCol w:w="1336"/>
              <w:gridCol w:w="794"/>
            </w:tblGrid>
            <w:tr w14:paraId="0037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240" w:type="dxa"/>
                  <w:tcBorders>
                    <w:top w:val="single" w:color="auto" w:sz="4" w:space="0"/>
                    <w:left w:val="single" w:color="auto" w:sz="4" w:space="0"/>
                    <w:bottom w:val="single" w:color="auto" w:sz="4" w:space="0"/>
                    <w:right w:val="single" w:color="auto" w:sz="4" w:space="0"/>
                  </w:tcBorders>
                  <w:vAlign w:val="center"/>
                </w:tcPr>
                <w:p w14:paraId="2E041270">
                  <w:pPr>
                    <w:keepNext w:val="0"/>
                    <w:keepLines w:val="0"/>
                    <w:suppressLineNumbers w:val="0"/>
                    <w:spacing w:before="0" w:beforeAutospacing="0" w:after="0" w:afterAutospacing="0" w:line="230" w:lineRule="exact"/>
                    <w:ind w:left="-105" w:leftChars="-50" w:right="-105" w:rightChars="-50"/>
                    <w:jc w:val="center"/>
                    <w:rPr>
                      <w:rFonts w:hint="default"/>
                      <w:b/>
                      <w:bCs/>
                      <w:color w:val="auto"/>
                      <w:sz w:val="18"/>
                      <w:szCs w:val="18"/>
                    </w:rPr>
                  </w:pPr>
                  <w:r>
                    <w:rPr>
                      <w:rFonts w:hint="default" w:ascii="宋体" w:hAnsi="宋体"/>
                      <w:b/>
                      <w:bCs/>
                      <w:color w:val="auto"/>
                      <w:sz w:val="18"/>
                      <w:szCs w:val="18"/>
                    </w:rPr>
                    <w:t>监测项目</w:t>
                  </w:r>
                </w:p>
              </w:tc>
              <w:tc>
                <w:tcPr>
                  <w:tcW w:w="3187" w:type="dxa"/>
                  <w:tcBorders>
                    <w:top w:val="single" w:color="auto" w:sz="4" w:space="0"/>
                    <w:left w:val="single" w:color="auto" w:sz="4" w:space="0"/>
                    <w:bottom w:val="single" w:color="auto" w:sz="4" w:space="0"/>
                    <w:right w:val="single" w:color="auto" w:sz="4" w:space="0"/>
                  </w:tcBorders>
                  <w:vAlign w:val="center"/>
                </w:tcPr>
                <w:p w14:paraId="023F8476">
                  <w:pPr>
                    <w:keepNext w:val="0"/>
                    <w:keepLines w:val="0"/>
                    <w:suppressLineNumbers w:val="0"/>
                    <w:spacing w:before="0" w:beforeAutospacing="0" w:after="0" w:afterAutospacing="0" w:line="230" w:lineRule="exact"/>
                    <w:ind w:left="-105" w:leftChars="-50" w:right="-105" w:rightChars="-50"/>
                    <w:jc w:val="center"/>
                    <w:rPr>
                      <w:rFonts w:hint="default"/>
                      <w:b/>
                      <w:bCs/>
                      <w:color w:val="auto"/>
                      <w:sz w:val="18"/>
                      <w:szCs w:val="18"/>
                    </w:rPr>
                  </w:pPr>
                  <w:r>
                    <w:rPr>
                      <w:rFonts w:hint="default" w:ascii="宋体" w:hAnsi="宋体"/>
                      <w:b/>
                      <w:bCs/>
                      <w:color w:val="auto"/>
                      <w:sz w:val="18"/>
                      <w:szCs w:val="18"/>
                    </w:rPr>
                    <w:t>区域</w:t>
                  </w:r>
                </w:p>
              </w:tc>
              <w:tc>
                <w:tcPr>
                  <w:tcW w:w="1441" w:type="dxa"/>
                  <w:tcBorders>
                    <w:top w:val="single" w:color="auto" w:sz="4" w:space="0"/>
                    <w:left w:val="single" w:color="auto" w:sz="4" w:space="0"/>
                    <w:bottom w:val="single" w:color="auto" w:sz="4" w:space="0"/>
                    <w:right w:val="single" w:color="auto" w:sz="4" w:space="0"/>
                  </w:tcBorders>
                  <w:vAlign w:val="center"/>
                </w:tcPr>
                <w:p w14:paraId="48D9E4CA">
                  <w:pPr>
                    <w:keepNext w:val="0"/>
                    <w:keepLines w:val="0"/>
                    <w:suppressLineNumbers w:val="0"/>
                    <w:spacing w:before="0" w:beforeAutospacing="0" w:after="0" w:afterAutospacing="0" w:line="230" w:lineRule="exact"/>
                    <w:ind w:left="-105" w:leftChars="-50" w:right="-105" w:rightChars="-50"/>
                    <w:jc w:val="center"/>
                    <w:rPr>
                      <w:rFonts w:hint="default"/>
                      <w:b/>
                      <w:bCs/>
                      <w:color w:val="auto"/>
                      <w:sz w:val="18"/>
                      <w:szCs w:val="18"/>
                    </w:rPr>
                  </w:pPr>
                  <w:r>
                    <w:rPr>
                      <w:rFonts w:hint="default" w:ascii="宋体" w:hAnsi="宋体"/>
                      <w:b/>
                      <w:bCs/>
                      <w:color w:val="auto"/>
                      <w:sz w:val="18"/>
                      <w:szCs w:val="18"/>
                    </w:rPr>
                    <w:t>施工阶段</w:t>
                  </w:r>
                </w:p>
              </w:tc>
              <w:tc>
                <w:tcPr>
                  <w:tcW w:w="1336" w:type="dxa"/>
                  <w:tcBorders>
                    <w:top w:val="single" w:color="auto" w:sz="4" w:space="0"/>
                    <w:left w:val="single" w:color="auto" w:sz="4" w:space="0"/>
                    <w:bottom w:val="single" w:color="auto" w:sz="4" w:space="0"/>
                    <w:right w:val="single" w:color="auto" w:sz="4" w:space="0"/>
                  </w:tcBorders>
                  <w:vAlign w:val="center"/>
                </w:tcPr>
                <w:p w14:paraId="2D1E434D">
                  <w:pPr>
                    <w:keepNext w:val="0"/>
                    <w:keepLines w:val="0"/>
                    <w:suppressLineNumbers w:val="0"/>
                    <w:spacing w:before="0" w:beforeAutospacing="0" w:after="0" w:afterAutospacing="0" w:line="230" w:lineRule="exact"/>
                    <w:ind w:left="-105" w:leftChars="-50" w:right="-105" w:rightChars="-50"/>
                    <w:jc w:val="center"/>
                    <w:rPr>
                      <w:rFonts w:hint="default"/>
                      <w:b/>
                      <w:bCs/>
                      <w:color w:val="auto"/>
                      <w:sz w:val="18"/>
                      <w:szCs w:val="18"/>
                    </w:rPr>
                  </w:pPr>
                  <w:r>
                    <w:rPr>
                      <w:rFonts w:hint="default" w:ascii="宋体" w:hAnsi="宋体"/>
                      <w:b/>
                      <w:bCs/>
                      <w:color w:val="auto"/>
                      <w:sz w:val="18"/>
                      <w:szCs w:val="18"/>
                    </w:rPr>
                    <w:t>监测点排放限值</w:t>
                  </w:r>
                </w:p>
                <w:p w14:paraId="4DECB40A">
                  <w:pPr>
                    <w:keepNext w:val="0"/>
                    <w:keepLines w:val="0"/>
                    <w:suppressLineNumbers w:val="0"/>
                    <w:spacing w:before="0" w:beforeAutospacing="0" w:after="0" w:afterAutospacing="0" w:line="230" w:lineRule="exact"/>
                    <w:ind w:left="-105" w:leftChars="-50" w:right="-105" w:rightChars="-50"/>
                    <w:jc w:val="center"/>
                    <w:rPr>
                      <w:rFonts w:hint="default"/>
                      <w:b/>
                      <w:bCs/>
                      <w:color w:val="auto"/>
                      <w:sz w:val="18"/>
                      <w:szCs w:val="18"/>
                    </w:rPr>
                  </w:pPr>
                  <w:r>
                    <w:rPr>
                      <w:rFonts w:hint="default" w:ascii="宋体" w:hAnsi="宋体"/>
                      <w:b/>
                      <w:bCs/>
                      <w:color w:val="auto"/>
                      <w:sz w:val="18"/>
                      <w:szCs w:val="18"/>
                    </w:rPr>
                    <w:t>（</w:t>
                  </w:r>
                  <w:r>
                    <w:rPr>
                      <w:rFonts w:hint="default"/>
                      <w:b/>
                      <w:bCs/>
                      <w:color w:val="auto"/>
                      <w:sz w:val="18"/>
                      <w:szCs w:val="18"/>
                    </w:rPr>
                    <w:t>μg/m</w:t>
                  </w:r>
                  <w:r>
                    <w:rPr>
                      <w:rFonts w:hint="default"/>
                      <w:b/>
                      <w:bCs/>
                      <w:color w:val="auto"/>
                      <w:sz w:val="18"/>
                      <w:szCs w:val="18"/>
                      <w:vertAlign w:val="superscript"/>
                    </w:rPr>
                    <w:t>3</w:t>
                  </w:r>
                  <w:r>
                    <w:rPr>
                      <w:rFonts w:hint="default" w:ascii="宋体" w:hAnsi="宋体"/>
                      <w:b/>
                      <w:bCs/>
                      <w:color w:val="auto"/>
                      <w:sz w:val="18"/>
                      <w:szCs w:val="18"/>
                    </w:rPr>
                    <w:t>）</w:t>
                  </w:r>
                </w:p>
              </w:tc>
              <w:tc>
                <w:tcPr>
                  <w:tcW w:w="794" w:type="dxa"/>
                  <w:tcBorders>
                    <w:top w:val="single" w:color="auto" w:sz="4" w:space="0"/>
                    <w:left w:val="single" w:color="auto" w:sz="4" w:space="0"/>
                    <w:bottom w:val="single" w:color="auto" w:sz="4" w:space="0"/>
                    <w:right w:val="single" w:color="auto" w:sz="4" w:space="0"/>
                  </w:tcBorders>
                  <w:vAlign w:val="center"/>
                </w:tcPr>
                <w:p w14:paraId="11BABF13">
                  <w:pPr>
                    <w:keepNext w:val="0"/>
                    <w:keepLines w:val="0"/>
                    <w:suppressLineNumbers w:val="0"/>
                    <w:spacing w:before="0" w:beforeAutospacing="0" w:after="0" w:afterAutospacing="0" w:line="230" w:lineRule="exact"/>
                    <w:ind w:left="-105" w:leftChars="-50" w:right="-105" w:rightChars="-50"/>
                    <w:jc w:val="center"/>
                    <w:rPr>
                      <w:rFonts w:hint="default"/>
                      <w:b/>
                      <w:bCs/>
                      <w:color w:val="auto"/>
                      <w:sz w:val="18"/>
                      <w:szCs w:val="18"/>
                    </w:rPr>
                  </w:pPr>
                  <w:r>
                    <w:rPr>
                      <w:rFonts w:hint="default" w:ascii="宋体" w:hAnsi="宋体"/>
                      <w:b/>
                      <w:bCs/>
                      <w:color w:val="auto"/>
                      <w:sz w:val="18"/>
                      <w:szCs w:val="18"/>
                    </w:rPr>
                    <w:t>监测时间</w:t>
                  </w:r>
                </w:p>
              </w:tc>
            </w:tr>
            <w:tr w14:paraId="2D9E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240" w:type="dxa"/>
                  <w:vMerge w:val="restart"/>
                  <w:tcBorders>
                    <w:top w:val="nil"/>
                    <w:left w:val="single" w:color="auto" w:sz="4" w:space="0"/>
                    <w:bottom w:val="single" w:color="auto" w:sz="4" w:space="0"/>
                    <w:right w:val="single" w:color="auto" w:sz="4" w:space="0"/>
                  </w:tcBorders>
                  <w:vAlign w:val="center"/>
                </w:tcPr>
                <w:p w14:paraId="2BF2E9CC">
                  <w:pPr>
                    <w:keepNext w:val="0"/>
                    <w:keepLines w:val="0"/>
                    <w:suppressLineNumbers w:val="0"/>
                    <w:spacing w:before="0" w:beforeAutospacing="0" w:after="0" w:afterAutospacing="0" w:line="300" w:lineRule="exact"/>
                    <w:ind w:left="-105" w:leftChars="-50" w:right="-105" w:rightChars="-50"/>
                    <w:jc w:val="center"/>
                    <w:rPr>
                      <w:rFonts w:hint="default"/>
                      <w:color w:val="auto"/>
                      <w:sz w:val="18"/>
                      <w:szCs w:val="18"/>
                    </w:rPr>
                  </w:pPr>
                  <w:r>
                    <w:rPr>
                      <w:rFonts w:hint="default" w:ascii="宋体" w:hAnsi="宋体"/>
                      <w:color w:val="auto"/>
                      <w:sz w:val="18"/>
                      <w:szCs w:val="18"/>
                    </w:rPr>
                    <w:t>总悬浮颗粒物</w:t>
                  </w:r>
                </w:p>
                <w:p w14:paraId="2462F1C8">
                  <w:pPr>
                    <w:keepNext w:val="0"/>
                    <w:keepLines w:val="0"/>
                    <w:suppressLineNumbers w:val="0"/>
                    <w:spacing w:before="0" w:beforeAutospacing="0" w:after="0" w:afterAutospacing="0" w:line="300" w:lineRule="exact"/>
                    <w:ind w:left="-105" w:leftChars="-50" w:right="-105" w:rightChars="-50"/>
                    <w:jc w:val="center"/>
                    <w:rPr>
                      <w:rFonts w:hint="default"/>
                      <w:color w:val="auto"/>
                      <w:sz w:val="18"/>
                      <w:szCs w:val="18"/>
                    </w:rPr>
                  </w:pPr>
                  <w:r>
                    <w:rPr>
                      <w:rFonts w:hint="default" w:ascii="宋体" w:hAnsi="宋体"/>
                      <w:color w:val="auto"/>
                      <w:sz w:val="18"/>
                      <w:szCs w:val="18"/>
                    </w:rPr>
                    <w:t>（</w:t>
                  </w:r>
                  <w:r>
                    <w:rPr>
                      <w:rFonts w:hint="default"/>
                      <w:color w:val="auto"/>
                      <w:sz w:val="18"/>
                      <w:szCs w:val="18"/>
                    </w:rPr>
                    <w:t>TSP</w:t>
                  </w:r>
                  <w:r>
                    <w:rPr>
                      <w:rFonts w:hint="default" w:ascii="宋体" w:hAnsi="宋体"/>
                      <w:color w:val="auto"/>
                      <w:sz w:val="18"/>
                      <w:szCs w:val="18"/>
                    </w:rPr>
                    <w:t>）</w:t>
                  </w:r>
                </w:p>
              </w:tc>
              <w:tc>
                <w:tcPr>
                  <w:tcW w:w="3187" w:type="dxa"/>
                  <w:vMerge w:val="restart"/>
                  <w:tcBorders>
                    <w:top w:val="nil"/>
                    <w:left w:val="single" w:color="auto" w:sz="4" w:space="0"/>
                    <w:bottom w:val="single" w:color="auto" w:sz="4" w:space="0"/>
                    <w:right w:val="single" w:color="auto" w:sz="4" w:space="0"/>
                  </w:tcBorders>
                  <w:vAlign w:val="center"/>
                </w:tcPr>
                <w:p w14:paraId="672DC976">
                  <w:pPr>
                    <w:keepNext w:val="0"/>
                    <w:keepLines w:val="0"/>
                    <w:suppressLineNumbers w:val="0"/>
                    <w:spacing w:before="0" w:beforeAutospacing="0" w:after="0" w:afterAutospacing="0" w:line="300" w:lineRule="exact"/>
                    <w:ind w:left="-105" w:leftChars="-50" w:right="-105" w:rightChars="-50"/>
                    <w:jc w:val="center"/>
                    <w:rPr>
                      <w:rFonts w:hint="default"/>
                      <w:color w:val="auto"/>
                      <w:sz w:val="18"/>
                      <w:szCs w:val="18"/>
                    </w:rPr>
                  </w:pPr>
                  <w:r>
                    <w:rPr>
                      <w:rFonts w:hint="default" w:ascii="宋体" w:hAnsi="宋体"/>
                      <w:color w:val="auto"/>
                      <w:sz w:val="18"/>
                      <w:szCs w:val="18"/>
                    </w:rPr>
                    <w:t>成都市、自贡市、泸州市、德阳市、绵</w:t>
                  </w:r>
                  <w:r>
                    <w:rPr>
                      <w:rFonts w:hint="default"/>
                      <w:color w:val="auto"/>
                      <w:sz w:val="18"/>
                      <w:szCs w:val="18"/>
                    </w:rPr>
                    <w:t xml:space="preserve"> </w:t>
                  </w:r>
                  <w:r>
                    <w:rPr>
                      <w:rFonts w:hint="default" w:ascii="宋体" w:hAnsi="宋体"/>
                      <w:color w:val="auto"/>
                      <w:sz w:val="18"/>
                      <w:szCs w:val="18"/>
                    </w:rPr>
                    <w:t>阳市、广元市、遂宁市、内江市、乐山市、南充市、宜宾市、广安市、</w:t>
                  </w:r>
                  <w:r>
                    <w:rPr>
                      <w:rFonts w:hint="default" w:ascii="宋体" w:hAnsi="宋体"/>
                      <w:b/>
                      <w:bCs/>
                      <w:color w:val="auto"/>
                      <w:sz w:val="18"/>
                      <w:szCs w:val="18"/>
                    </w:rPr>
                    <w:t>达州市</w:t>
                  </w:r>
                  <w:r>
                    <w:rPr>
                      <w:rFonts w:hint="default" w:ascii="宋体" w:hAnsi="宋体"/>
                      <w:color w:val="auto"/>
                      <w:sz w:val="18"/>
                      <w:szCs w:val="18"/>
                    </w:rPr>
                    <w:t>、巴中市、雅安市、眉山市、资阳市</w:t>
                  </w:r>
                </w:p>
              </w:tc>
              <w:tc>
                <w:tcPr>
                  <w:tcW w:w="1441" w:type="dxa"/>
                  <w:tcBorders>
                    <w:top w:val="single" w:color="auto" w:sz="4" w:space="0"/>
                    <w:left w:val="single" w:color="auto" w:sz="4" w:space="0"/>
                    <w:bottom w:val="single" w:color="auto" w:sz="4" w:space="0"/>
                    <w:right w:val="single" w:color="auto" w:sz="4" w:space="0"/>
                  </w:tcBorders>
                  <w:vAlign w:val="center"/>
                </w:tcPr>
                <w:p w14:paraId="12AAC84A">
                  <w:pPr>
                    <w:keepNext w:val="0"/>
                    <w:keepLines w:val="0"/>
                    <w:suppressLineNumbers w:val="0"/>
                    <w:spacing w:before="0" w:beforeAutospacing="0" w:after="0" w:afterAutospacing="0" w:line="300" w:lineRule="exact"/>
                    <w:ind w:left="-105" w:leftChars="-50" w:right="-105" w:rightChars="-50"/>
                    <w:jc w:val="center"/>
                    <w:rPr>
                      <w:rFonts w:hint="default"/>
                      <w:color w:val="auto"/>
                      <w:sz w:val="18"/>
                      <w:szCs w:val="18"/>
                    </w:rPr>
                  </w:pPr>
                  <w:r>
                    <w:rPr>
                      <w:rFonts w:hint="default" w:ascii="宋体" w:hAnsi="宋体"/>
                      <w:color w:val="auto"/>
                      <w:sz w:val="18"/>
                      <w:szCs w:val="18"/>
                    </w:rPr>
                    <w:t>拆除工程</w:t>
                  </w:r>
                  <w:r>
                    <w:rPr>
                      <w:rFonts w:hint="default"/>
                      <w:color w:val="auto"/>
                      <w:sz w:val="18"/>
                      <w:szCs w:val="18"/>
                    </w:rPr>
                    <w:t>/</w:t>
                  </w:r>
                  <w:r>
                    <w:rPr>
                      <w:rFonts w:hint="default" w:ascii="宋体" w:hAnsi="宋体"/>
                      <w:color w:val="auto"/>
                      <w:sz w:val="18"/>
                      <w:szCs w:val="18"/>
                    </w:rPr>
                    <w:t>土方开挖</w:t>
                  </w:r>
                  <w:r>
                    <w:rPr>
                      <w:rFonts w:hint="default"/>
                      <w:color w:val="auto"/>
                      <w:sz w:val="18"/>
                      <w:szCs w:val="18"/>
                    </w:rPr>
                    <w:t>/</w:t>
                  </w:r>
                  <w:r>
                    <w:rPr>
                      <w:rFonts w:hint="default" w:ascii="宋体" w:hAnsi="宋体"/>
                      <w:color w:val="auto"/>
                      <w:sz w:val="18"/>
                      <w:szCs w:val="18"/>
                    </w:rPr>
                    <w:t>土方回填阶段</w:t>
                  </w:r>
                </w:p>
              </w:tc>
              <w:tc>
                <w:tcPr>
                  <w:tcW w:w="1336" w:type="dxa"/>
                  <w:tcBorders>
                    <w:top w:val="single" w:color="auto" w:sz="4" w:space="0"/>
                    <w:left w:val="single" w:color="auto" w:sz="4" w:space="0"/>
                    <w:bottom w:val="single" w:color="auto" w:sz="4" w:space="0"/>
                    <w:right w:val="single" w:color="auto" w:sz="4" w:space="0"/>
                  </w:tcBorders>
                  <w:vAlign w:val="center"/>
                </w:tcPr>
                <w:p w14:paraId="727A066D">
                  <w:pPr>
                    <w:keepNext w:val="0"/>
                    <w:keepLines w:val="0"/>
                    <w:suppressLineNumbers w:val="0"/>
                    <w:spacing w:before="0" w:beforeAutospacing="0" w:after="0" w:afterAutospacing="0" w:line="300" w:lineRule="exact"/>
                    <w:ind w:left="-105" w:leftChars="-50" w:right="-105" w:rightChars="-50"/>
                    <w:jc w:val="center"/>
                    <w:rPr>
                      <w:rFonts w:hint="default"/>
                      <w:color w:val="auto"/>
                      <w:sz w:val="18"/>
                      <w:szCs w:val="18"/>
                    </w:rPr>
                  </w:pPr>
                  <w:r>
                    <w:rPr>
                      <w:rFonts w:hint="default"/>
                      <w:color w:val="auto"/>
                      <w:sz w:val="18"/>
                      <w:szCs w:val="18"/>
                    </w:rPr>
                    <w:t>600</w:t>
                  </w:r>
                </w:p>
              </w:tc>
              <w:tc>
                <w:tcPr>
                  <w:tcW w:w="794" w:type="dxa"/>
                  <w:vMerge w:val="restart"/>
                  <w:tcBorders>
                    <w:top w:val="nil"/>
                    <w:left w:val="single" w:color="auto" w:sz="4" w:space="0"/>
                    <w:bottom w:val="single" w:color="auto" w:sz="4" w:space="0"/>
                    <w:right w:val="single" w:color="auto" w:sz="4" w:space="0"/>
                  </w:tcBorders>
                  <w:vAlign w:val="center"/>
                </w:tcPr>
                <w:p w14:paraId="3B791B86">
                  <w:pPr>
                    <w:keepNext w:val="0"/>
                    <w:keepLines w:val="0"/>
                    <w:suppressLineNumbers w:val="0"/>
                    <w:spacing w:before="0" w:beforeAutospacing="0" w:after="0" w:afterAutospacing="0" w:line="230" w:lineRule="exact"/>
                    <w:ind w:left="-105" w:leftChars="-50" w:right="-105" w:rightChars="-50"/>
                    <w:jc w:val="center"/>
                    <w:rPr>
                      <w:rFonts w:hint="default"/>
                      <w:color w:val="auto"/>
                      <w:sz w:val="18"/>
                      <w:szCs w:val="18"/>
                    </w:rPr>
                  </w:pPr>
                  <w:r>
                    <w:rPr>
                      <w:rFonts w:hint="default" w:ascii="宋体" w:hAnsi="宋体"/>
                      <w:color w:val="auto"/>
                      <w:sz w:val="18"/>
                      <w:szCs w:val="18"/>
                    </w:rPr>
                    <w:t>自监测起持续</w:t>
                  </w:r>
                  <w:r>
                    <w:rPr>
                      <w:rFonts w:hint="default"/>
                      <w:color w:val="auto"/>
                      <w:sz w:val="18"/>
                      <w:szCs w:val="18"/>
                    </w:rPr>
                    <w:t xml:space="preserve">15 </w:t>
                  </w:r>
                  <w:r>
                    <w:rPr>
                      <w:rFonts w:hint="default" w:ascii="宋体" w:hAnsi="宋体"/>
                      <w:color w:val="auto"/>
                      <w:sz w:val="18"/>
                      <w:szCs w:val="18"/>
                    </w:rPr>
                    <w:t>分钟</w:t>
                  </w:r>
                </w:p>
              </w:tc>
            </w:tr>
            <w:tr w14:paraId="4A68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1240" w:type="dxa"/>
                  <w:vMerge w:val="continue"/>
                  <w:tcBorders>
                    <w:top w:val="nil"/>
                    <w:left w:val="single" w:color="auto" w:sz="4" w:space="0"/>
                    <w:bottom w:val="single" w:color="auto" w:sz="4" w:space="0"/>
                    <w:right w:val="single" w:color="auto" w:sz="4" w:space="0"/>
                  </w:tcBorders>
                  <w:vAlign w:val="center"/>
                </w:tcPr>
                <w:p w14:paraId="63B9EA08">
                  <w:pPr>
                    <w:keepNext w:val="0"/>
                    <w:keepLines w:val="0"/>
                    <w:widowControl/>
                    <w:suppressLineNumbers w:val="0"/>
                    <w:spacing w:before="0" w:beforeAutospacing="0" w:after="0" w:afterAutospacing="0" w:line="300" w:lineRule="exact"/>
                    <w:ind w:left="0" w:right="0"/>
                    <w:jc w:val="left"/>
                    <w:rPr>
                      <w:rFonts w:hint="default"/>
                      <w:color w:val="auto"/>
                      <w:sz w:val="18"/>
                      <w:szCs w:val="18"/>
                    </w:rPr>
                  </w:pPr>
                </w:p>
              </w:tc>
              <w:tc>
                <w:tcPr>
                  <w:tcW w:w="3187" w:type="dxa"/>
                  <w:vMerge w:val="continue"/>
                  <w:tcBorders>
                    <w:top w:val="nil"/>
                    <w:left w:val="single" w:color="auto" w:sz="4" w:space="0"/>
                    <w:bottom w:val="single" w:color="auto" w:sz="4" w:space="0"/>
                    <w:right w:val="single" w:color="auto" w:sz="4" w:space="0"/>
                  </w:tcBorders>
                  <w:vAlign w:val="center"/>
                </w:tcPr>
                <w:p w14:paraId="2EBE904F">
                  <w:pPr>
                    <w:keepNext w:val="0"/>
                    <w:keepLines w:val="0"/>
                    <w:widowControl/>
                    <w:suppressLineNumbers w:val="0"/>
                    <w:spacing w:before="0" w:beforeAutospacing="0" w:after="0" w:afterAutospacing="0" w:line="300" w:lineRule="exact"/>
                    <w:ind w:left="0" w:right="0"/>
                    <w:jc w:val="left"/>
                    <w:rPr>
                      <w:rFonts w:hint="default"/>
                      <w:color w:val="auto"/>
                      <w:sz w:val="18"/>
                      <w:szCs w:val="18"/>
                    </w:rPr>
                  </w:pPr>
                </w:p>
              </w:tc>
              <w:tc>
                <w:tcPr>
                  <w:tcW w:w="1441" w:type="dxa"/>
                  <w:tcBorders>
                    <w:top w:val="single" w:color="auto" w:sz="4" w:space="0"/>
                    <w:left w:val="single" w:color="auto" w:sz="4" w:space="0"/>
                    <w:bottom w:val="single" w:color="auto" w:sz="4" w:space="0"/>
                    <w:right w:val="single" w:color="auto" w:sz="4" w:space="0"/>
                  </w:tcBorders>
                  <w:vAlign w:val="center"/>
                </w:tcPr>
                <w:p w14:paraId="49509734">
                  <w:pPr>
                    <w:keepNext w:val="0"/>
                    <w:keepLines w:val="0"/>
                    <w:suppressLineNumbers w:val="0"/>
                    <w:spacing w:before="0" w:beforeAutospacing="0" w:after="0" w:afterAutospacing="0" w:line="300" w:lineRule="exact"/>
                    <w:ind w:left="-105" w:leftChars="-50" w:right="-105" w:rightChars="-50"/>
                    <w:jc w:val="center"/>
                    <w:rPr>
                      <w:rFonts w:hint="default"/>
                      <w:color w:val="auto"/>
                      <w:sz w:val="18"/>
                      <w:szCs w:val="18"/>
                    </w:rPr>
                  </w:pPr>
                  <w:r>
                    <w:rPr>
                      <w:rFonts w:hint="default" w:ascii="宋体" w:hAnsi="宋体"/>
                      <w:color w:val="auto"/>
                      <w:sz w:val="18"/>
                      <w:szCs w:val="18"/>
                    </w:rPr>
                    <w:t>其他工程阶段</w:t>
                  </w:r>
                </w:p>
              </w:tc>
              <w:tc>
                <w:tcPr>
                  <w:tcW w:w="1336" w:type="dxa"/>
                  <w:tcBorders>
                    <w:top w:val="single" w:color="auto" w:sz="4" w:space="0"/>
                    <w:left w:val="single" w:color="auto" w:sz="4" w:space="0"/>
                    <w:bottom w:val="single" w:color="auto" w:sz="4" w:space="0"/>
                    <w:right w:val="single" w:color="auto" w:sz="4" w:space="0"/>
                  </w:tcBorders>
                  <w:vAlign w:val="center"/>
                </w:tcPr>
                <w:p w14:paraId="255715C9">
                  <w:pPr>
                    <w:keepNext w:val="0"/>
                    <w:keepLines w:val="0"/>
                    <w:suppressLineNumbers w:val="0"/>
                    <w:spacing w:before="0" w:beforeAutospacing="0" w:after="0" w:afterAutospacing="0" w:line="300" w:lineRule="exact"/>
                    <w:ind w:left="-105" w:leftChars="-50" w:right="-105" w:rightChars="-50"/>
                    <w:jc w:val="center"/>
                    <w:rPr>
                      <w:rFonts w:hint="default"/>
                      <w:color w:val="auto"/>
                      <w:sz w:val="18"/>
                      <w:szCs w:val="18"/>
                    </w:rPr>
                  </w:pPr>
                  <w:r>
                    <w:rPr>
                      <w:rFonts w:hint="default"/>
                      <w:color w:val="auto"/>
                      <w:sz w:val="18"/>
                      <w:szCs w:val="18"/>
                    </w:rPr>
                    <w:t>250</w:t>
                  </w:r>
                </w:p>
              </w:tc>
              <w:tc>
                <w:tcPr>
                  <w:tcW w:w="794" w:type="dxa"/>
                  <w:vMerge w:val="continue"/>
                  <w:tcBorders>
                    <w:top w:val="nil"/>
                    <w:left w:val="single" w:color="auto" w:sz="4" w:space="0"/>
                    <w:bottom w:val="single" w:color="auto" w:sz="4" w:space="0"/>
                    <w:right w:val="single" w:color="auto" w:sz="4" w:space="0"/>
                  </w:tcBorders>
                  <w:vAlign w:val="center"/>
                </w:tcPr>
                <w:p w14:paraId="2C28C636">
                  <w:pPr>
                    <w:keepNext w:val="0"/>
                    <w:keepLines w:val="0"/>
                    <w:widowControl/>
                    <w:suppressLineNumbers w:val="0"/>
                    <w:spacing w:before="0" w:beforeAutospacing="0" w:after="0" w:afterAutospacing="0"/>
                    <w:ind w:left="0" w:right="0"/>
                    <w:jc w:val="left"/>
                    <w:rPr>
                      <w:rFonts w:hint="default"/>
                      <w:color w:val="auto"/>
                      <w:sz w:val="18"/>
                      <w:szCs w:val="18"/>
                    </w:rPr>
                  </w:pPr>
                </w:p>
              </w:tc>
            </w:tr>
          </w:tbl>
          <w:p w14:paraId="1D393850">
            <w:pPr>
              <w:keepNext w:val="0"/>
              <w:keepLines w:val="0"/>
              <w:suppressLineNumbers w:val="0"/>
              <w:spacing w:before="0" w:beforeAutospacing="0" w:after="0" w:afterAutospacing="0" w:line="400" w:lineRule="exact"/>
              <w:ind w:left="0" w:right="0"/>
              <w:rPr>
                <w:rFonts w:hint="default" w:eastAsia="宋体"/>
                <w:color w:val="auto"/>
                <w:szCs w:val="21"/>
                <w:lang w:val="en-US" w:eastAsia="zh-CN"/>
              </w:rPr>
            </w:pPr>
            <w:r>
              <w:rPr>
                <w:rFonts w:hint="default"/>
                <w:color w:val="auto"/>
                <w:szCs w:val="21"/>
              </w:rPr>
              <w:t>营运期污水处理站的恶臭废气排放执行《医疗机构水污染物排放标准》(GB18466-2005)中表3的排放限值要求</w:t>
            </w:r>
            <w:r>
              <w:rPr>
                <w:rFonts w:hint="eastAsia"/>
                <w:color w:val="auto"/>
                <w:szCs w:val="21"/>
              </w:rPr>
              <w:t>。</w:t>
            </w:r>
            <w:r>
              <w:rPr>
                <w:rFonts w:hint="eastAsia"/>
                <w:color w:val="auto"/>
                <w:szCs w:val="21"/>
                <w:lang w:val="en-US" w:eastAsia="zh-CN"/>
              </w:rPr>
              <w:t>中药熬煮废气排放执行《恶臭污染物排放标准》（GB 14554-93）。</w:t>
            </w:r>
          </w:p>
          <w:p w14:paraId="7CA12A6A">
            <w:pPr>
              <w:keepNext w:val="0"/>
              <w:keepLines w:val="0"/>
              <w:suppressLineNumbers w:val="0"/>
              <w:spacing w:before="0" w:beforeAutospacing="0" w:after="0" w:afterAutospacing="0" w:line="400" w:lineRule="exact"/>
              <w:ind w:left="0" w:right="0"/>
              <w:rPr>
                <w:rFonts w:hint="default"/>
                <w:color w:val="auto"/>
                <w:szCs w:val="21"/>
              </w:rPr>
            </w:pPr>
            <w:r>
              <w:rPr>
                <w:rFonts w:hint="default"/>
                <w:color w:val="auto"/>
                <w:szCs w:val="21"/>
              </w:rPr>
              <w:t>2.水污染物：执行《医疗机构水污染物排放标准》(GB18466-2005)表2中的</w:t>
            </w:r>
            <w:r>
              <w:rPr>
                <w:rFonts w:hint="eastAsia"/>
                <w:color w:val="auto"/>
                <w:szCs w:val="21"/>
              </w:rPr>
              <w:t>预处理</w:t>
            </w:r>
            <w:r>
              <w:rPr>
                <w:rFonts w:hint="default"/>
                <w:color w:val="auto"/>
                <w:szCs w:val="21"/>
              </w:rPr>
              <w:t>标准</w:t>
            </w:r>
            <w:r>
              <w:rPr>
                <w:rFonts w:hint="eastAsia"/>
                <w:color w:val="auto"/>
                <w:szCs w:val="21"/>
              </w:rPr>
              <w:t>。</w:t>
            </w:r>
          </w:p>
          <w:p w14:paraId="66056756">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default" w:eastAsia="黑体"/>
                <w:color w:val="auto"/>
                <w:kern w:val="0"/>
                <w:sz w:val="18"/>
                <w:szCs w:val="20"/>
              </w:rPr>
            </w:pPr>
            <w:r>
              <w:rPr>
                <w:rFonts w:hint="default" w:ascii="黑体" w:hAnsi="黑体" w:eastAsia="黑体"/>
                <w:color w:val="auto"/>
                <w:kern w:val="0"/>
                <w:sz w:val="18"/>
                <w:szCs w:val="20"/>
              </w:rPr>
              <w:t>表</w:t>
            </w:r>
            <w:r>
              <w:rPr>
                <w:rFonts w:hint="default" w:eastAsia="黑体"/>
                <w:color w:val="auto"/>
                <w:kern w:val="0"/>
                <w:sz w:val="18"/>
                <w:szCs w:val="20"/>
              </w:rPr>
              <w:t>3-</w:t>
            </w:r>
            <w:r>
              <w:rPr>
                <w:rFonts w:hint="eastAsia" w:eastAsia="黑体"/>
                <w:color w:val="auto"/>
                <w:kern w:val="0"/>
                <w:sz w:val="18"/>
                <w:szCs w:val="20"/>
              </w:rPr>
              <w:t xml:space="preserve">6  </w:t>
            </w:r>
            <w:r>
              <w:rPr>
                <w:rFonts w:hint="default" w:eastAsia="黑体"/>
                <w:color w:val="auto"/>
                <w:kern w:val="0"/>
                <w:sz w:val="18"/>
                <w:szCs w:val="20"/>
              </w:rPr>
              <w:t xml:space="preserve">  </w:t>
            </w:r>
            <w:r>
              <w:rPr>
                <w:rFonts w:hint="eastAsia" w:ascii="黑体" w:hAnsi="黑体" w:eastAsia="黑体"/>
                <w:color w:val="auto"/>
                <w:kern w:val="0"/>
                <w:sz w:val="18"/>
                <w:szCs w:val="20"/>
              </w:rPr>
              <w:t>综合</w:t>
            </w:r>
            <w:r>
              <w:rPr>
                <w:rFonts w:hint="default" w:ascii="黑体" w:hAnsi="黑体" w:eastAsia="黑体"/>
                <w:color w:val="auto"/>
                <w:kern w:val="0"/>
                <w:sz w:val="18"/>
                <w:szCs w:val="20"/>
              </w:rPr>
              <w:t>医疗机构</w:t>
            </w:r>
            <w:r>
              <w:rPr>
                <w:rFonts w:hint="eastAsia" w:ascii="黑体" w:hAnsi="黑体" w:eastAsia="黑体"/>
                <w:color w:val="auto"/>
                <w:kern w:val="0"/>
                <w:sz w:val="18"/>
                <w:szCs w:val="20"/>
              </w:rPr>
              <w:t>和其他医疗机构</w:t>
            </w:r>
            <w:r>
              <w:rPr>
                <w:rFonts w:hint="default" w:ascii="黑体" w:hAnsi="黑体" w:eastAsia="黑体"/>
                <w:color w:val="auto"/>
                <w:kern w:val="0"/>
                <w:sz w:val="18"/>
                <w:szCs w:val="20"/>
              </w:rPr>
              <w:t>水污染物排放限值（日均值）</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5404"/>
              <w:gridCol w:w="1629"/>
            </w:tblGrid>
            <w:tr w14:paraId="6611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tcPr>
                <w:p w14:paraId="0A74724F">
                  <w:pPr>
                    <w:keepNext w:val="0"/>
                    <w:keepLines w:val="0"/>
                    <w:suppressLineNumbers w:val="0"/>
                    <w:spacing w:before="0" w:beforeAutospacing="0" w:after="0" w:afterAutospacing="0" w:line="280" w:lineRule="exact"/>
                    <w:ind w:left="0" w:right="0"/>
                    <w:jc w:val="center"/>
                    <w:rPr>
                      <w:rFonts w:hint="default"/>
                      <w:b/>
                      <w:bCs/>
                      <w:color w:val="auto"/>
                      <w:sz w:val="15"/>
                      <w:szCs w:val="15"/>
                    </w:rPr>
                  </w:pPr>
                  <w:r>
                    <w:rPr>
                      <w:rFonts w:hint="default" w:ascii="宋体" w:hAnsi="宋体"/>
                      <w:b/>
                      <w:bCs/>
                      <w:color w:val="auto"/>
                      <w:sz w:val="15"/>
                      <w:szCs w:val="15"/>
                    </w:rPr>
                    <w:t>序号</w:t>
                  </w:r>
                </w:p>
              </w:tc>
              <w:tc>
                <w:tcPr>
                  <w:tcW w:w="5404" w:type="dxa"/>
                  <w:tcBorders>
                    <w:top w:val="single" w:color="auto" w:sz="4" w:space="0"/>
                    <w:left w:val="nil"/>
                    <w:bottom w:val="single" w:color="auto" w:sz="4" w:space="0"/>
                    <w:right w:val="single" w:color="auto" w:sz="4" w:space="0"/>
                  </w:tcBorders>
                </w:tcPr>
                <w:p w14:paraId="2288FFCB">
                  <w:pPr>
                    <w:keepNext w:val="0"/>
                    <w:keepLines w:val="0"/>
                    <w:suppressLineNumbers w:val="0"/>
                    <w:spacing w:before="0" w:beforeAutospacing="0" w:after="0" w:afterAutospacing="0" w:line="280" w:lineRule="exact"/>
                    <w:ind w:left="0" w:right="0"/>
                    <w:jc w:val="center"/>
                    <w:rPr>
                      <w:rFonts w:hint="default"/>
                      <w:b/>
                      <w:bCs/>
                      <w:color w:val="auto"/>
                      <w:sz w:val="15"/>
                      <w:szCs w:val="15"/>
                    </w:rPr>
                  </w:pPr>
                  <w:r>
                    <w:rPr>
                      <w:rFonts w:hint="default" w:ascii="宋体" w:hAnsi="宋体"/>
                      <w:b/>
                      <w:bCs/>
                      <w:color w:val="auto"/>
                      <w:sz w:val="15"/>
                      <w:szCs w:val="15"/>
                    </w:rPr>
                    <w:t>控制项目</w:t>
                  </w:r>
                </w:p>
              </w:tc>
              <w:tc>
                <w:tcPr>
                  <w:tcW w:w="1629" w:type="dxa"/>
                  <w:tcBorders>
                    <w:top w:val="single" w:color="auto" w:sz="4" w:space="0"/>
                    <w:left w:val="nil"/>
                    <w:bottom w:val="single" w:color="auto" w:sz="4" w:space="0"/>
                    <w:right w:val="single" w:color="auto" w:sz="4" w:space="0"/>
                  </w:tcBorders>
                </w:tcPr>
                <w:p w14:paraId="016D0FD1">
                  <w:pPr>
                    <w:keepNext w:val="0"/>
                    <w:keepLines w:val="0"/>
                    <w:suppressLineNumbers w:val="0"/>
                    <w:spacing w:before="0" w:beforeAutospacing="0" w:after="0" w:afterAutospacing="0" w:line="280" w:lineRule="exact"/>
                    <w:ind w:left="0" w:right="0"/>
                    <w:jc w:val="center"/>
                    <w:rPr>
                      <w:rFonts w:hint="default"/>
                      <w:b/>
                      <w:bCs/>
                      <w:color w:val="auto"/>
                      <w:sz w:val="15"/>
                      <w:szCs w:val="15"/>
                    </w:rPr>
                  </w:pPr>
                  <w:r>
                    <w:rPr>
                      <w:rFonts w:hint="eastAsia" w:ascii="宋体" w:hAnsi="宋体"/>
                      <w:b/>
                      <w:bCs/>
                      <w:color w:val="auto"/>
                      <w:sz w:val="15"/>
                      <w:szCs w:val="15"/>
                    </w:rPr>
                    <w:t>预处理</w:t>
                  </w:r>
                  <w:r>
                    <w:rPr>
                      <w:rFonts w:hint="default" w:ascii="宋体" w:hAnsi="宋体"/>
                      <w:b/>
                      <w:bCs/>
                      <w:color w:val="auto"/>
                      <w:sz w:val="15"/>
                      <w:szCs w:val="15"/>
                    </w:rPr>
                    <w:t>标准值</w:t>
                  </w:r>
                </w:p>
              </w:tc>
            </w:tr>
            <w:tr w14:paraId="50355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15D1D03F">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w:t>
                  </w:r>
                </w:p>
              </w:tc>
              <w:tc>
                <w:tcPr>
                  <w:tcW w:w="5404" w:type="dxa"/>
                  <w:tcBorders>
                    <w:top w:val="single" w:color="auto" w:sz="4" w:space="0"/>
                    <w:left w:val="nil"/>
                    <w:bottom w:val="single" w:color="auto" w:sz="4" w:space="0"/>
                    <w:right w:val="single" w:color="auto" w:sz="4" w:space="0"/>
                  </w:tcBorders>
                </w:tcPr>
                <w:p w14:paraId="2B2AA942">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粪大肠菌群数（</w:t>
                  </w:r>
                  <w:r>
                    <w:rPr>
                      <w:rFonts w:hint="default"/>
                      <w:color w:val="auto"/>
                      <w:sz w:val="15"/>
                      <w:szCs w:val="15"/>
                    </w:rPr>
                    <w:t>MPN/L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tcPr>
                <w:p w14:paraId="4CD2F970">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50</w:t>
                  </w:r>
                  <w:r>
                    <w:rPr>
                      <w:rFonts w:hint="default"/>
                      <w:color w:val="auto"/>
                      <w:sz w:val="15"/>
                      <w:szCs w:val="15"/>
                    </w:rPr>
                    <w:t>00</w:t>
                  </w:r>
                </w:p>
              </w:tc>
            </w:tr>
            <w:tr w14:paraId="61B74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0B06E76C">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2</w:t>
                  </w:r>
                </w:p>
              </w:tc>
              <w:tc>
                <w:tcPr>
                  <w:tcW w:w="5404" w:type="dxa"/>
                  <w:tcBorders>
                    <w:top w:val="single" w:color="auto" w:sz="4" w:space="0"/>
                    <w:left w:val="nil"/>
                    <w:bottom w:val="single" w:color="auto" w:sz="4" w:space="0"/>
                    <w:right w:val="single" w:color="auto" w:sz="4" w:space="0"/>
                  </w:tcBorders>
                </w:tcPr>
                <w:p w14:paraId="20ED1A97">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肠道致病菌</w:t>
                  </w:r>
                </w:p>
              </w:tc>
              <w:tc>
                <w:tcPr>
                  <w:tcW w:w="1629" w:type="dxa"/>
                  <w:tcBorders>
                    <w:top w:val="single" w:color="auto" w:sz="4" w:space="0"/>
                    <w:left w:val="nil"/>
                    <w:bottom w:val="single" w:color="auto" w:sz="4" w:space="0"/>
                    <w:right w:val="single" w:color="auto" w:sz="4" w:space="0"/>
                  </w:tcBorders>
                </w:tcPr>
                <w:p w14:paraId="4F9663D4">
                  <w:pPr>
                    <w:keepNext w:val="0"/>
                    <w:keepLines w:val="0"/>
                    <w:suppressLineNumbers w:val="0"/>
                    <w:spacing w:before="0" w:beforeAutospacing="0" w:after="0" w:afterAutospacing="0" w:line="280" w:lineRule="exact"/>
                    <w:ind w:left="0" w:right="0"/>
                    <w:jc w:val="center"/>
                    <w:rPr>
                      <w:rFonts w:hint="default" w:ascii="宋体" w:hAnsi="宋体"/>
                      <w:color w:val="auto"/>
                      <w:sz w:val="15"/>
                      <w:szCs w:val="15"/>
                    </w:rPr>
                  </w:pPr>
                  <w:r>
                    <w:rPr>
                      <w:rFonts w:hint="eastAsia"/>
                      <w:color w:val="auto"/>
                      <w:sz w:val="15"/>
                      <w:szCs w:val="15"/>
                    </w:rPr>
                    <w:t>-</w:t>
                  </w:r>
                </w:p>
              </w:tc>
            </w:tr>
            <w:tr w14:paraId="51269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6CB9EB00">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3</w:t>
                  </w:r>
                </w:p>
              </w:tc>
              <w:tc>
                <w:tcPr>
                  <w:tcW w:w="5404" w:type="dxa"/>
                  <w:tcBorders>
                    <w:top w:val="single" w:color="auto" w:sz="4" w:space="0"/>
                    <w:left w:val="nil"/>
                    <w:bottom w:val="single" w:color="auto" w:sz="4" w:space="0"/>
                    <w:right w:val="single" w:color="auto" w:sz="4" w:space="0"/>
                  </w:tcBorders>
                </w:tcPr>
                <w:p w14:paraId="4935F03E">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肠道病毒</w:t>
                  </w:r>
                </w:p>
              </w:tc>
              <w:tc>
                <w:tcPr>
                  <w:tcW w:w="1629" w:type="dxa"/>
                  <w:tcBorders>
                    <w:top w:val="single" w:color="auto" w:sz="4" w:space="0"/>
                    <w:left w:val="nil"/>
                    <w:bottom w:val="single" w:color="auto" w:sz="4" w:space="0"/>
                    <w:right w:val="single" w:color="auto" w:sz="4" w:space="0"/>
                  </w:tcBorders>
                </w:tcPr>
                <w:p w14:paraId="2B93BDE8">
                  <w:pPr>
                    <w:keepNext w:val="0"/>
                    <w:keepLines w:val="0"/>
                    <w:suppressLineNumbers w:val="0"/>
                    <w:spacing w:before="0" w:beforeAutospacing="0" w:after="0" w:afterAutospacing="0" w:line="280" w:lineRule="exact"/>
                    <w:ind w:left="0" w:right="0"/>
                    <w:jc w:val="center"/>
                    <w:rPr>
                      <w:rFonts w:hint="default" w:ascii="宋体" w:hAnsi="宋体"/>
                      <w:color w:val="auto"/>
                      <w:sz w:val="15"/>
                      <w:szCs w:val="15"/>
                    </w:rPr>
                  </w:pPr>
                  <w:r>
                    <w:rPr>
                      <w:rFonts w:hint="eastAsia"/>
                      <w:color w:val="auto"/>
                      <w:sz w:val="15"/>
                      <w:szCs w:val="15"/>
                    </w:rPr>
                    <w:t>-</w:t>
                  </w:r>
                </w:p>
              </w:tc>
            </w:tr>
            <w:tr w14:paraId="2BFD3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63B857D2">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4</w:t>
                  </w:r>
                </w:p>
              </w:tc>
              <w:tc>
                <w:tcPr>
                  <w:tcW w:w="5404" w:type="dxa"/>
                  <w:tcBorders>
                    <w:top w:val="single" w:color="auto" w:sz="4" w:space="0"/>
                    <w:left w:val="nil"/>
                    <w:bottom w:val="single" w:color="auto" w:sz="4" w:space="0"/>
                    <w:right w:val="single" w:color="auto" w:sz="4" w:space="0"/>
                  </w:tcBorders>
                </w:tcPr>
                <w:p w14:paraId="5BF5AF53">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color w:val="auto"/>
                      <w:sz w:val="15"/>
                      <w:szCs w:val="15"/>
                    </w:rPr>
                    <w:t>pH</w:t>
                  </w:r>
                </w:p>
              </w:tc>
              <w:tc>
                <w:tcPr>
                  <w:tcW w:w="1629" w:type="dxa"/>
                  <w:tcBorders>
                    <w:top w:val="single" w:color="auto" w:sz="4" w:space="0"/>
                    <w:left w:val="nil"/>
                    <w:bottom w:val="single" w:color="auto" w:sz="4" w:space="0"/>
                    <w:right w:val="single" w:color="auto" w:sz="4" w:space="0"/>
                  </w:tcBorders>
                </w:tcPr>
                <w:p w14:paraId="34848D98">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6-9</w:t>
                  </w:r>
                </w:p>
              </w:tc>
            </w:tr>
            <w:tr w14:paraId="5441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47F75FB8">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5</w:t>
                  </w:r>
                </w:p>
              </w:tc>
              <w:tc>
                <w:tcPr>
                  <w:tcW w:w="5404" w:type="dxa"/>
                  <w:tcBorders>
                    <w:top w:val="single" w:color="auto" w:sz="4" w:space="0"/>
                    <w:left w:val="nil"/>
                    <w:bottom w:val="single" w:color="auto" w:sz="4" w:space="0"/>
                    <w:right w:val="single" w:color="auto" w:sz="4" w:space="0"/>
                  </w:tcBorders>
                  <w:vAlign w:val="center"/>
                </w:tcPr>
                <w:p w14:paraId="2FAA87E8">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化学需氧量（</w:t>
                  </w:r>
                  <w:r>
                    <w:rPr>
                      <w:rFonts w:hint="default"/>
                      <w:color w:val="auto"/>
                      <w:sz w:val="15"/>
                      <w:szCs w:val="15"/>
                    </w:rPr>
                    <w:t>COD</w:t>
                  </w:r>
                  <w:r>
                    <w:rPr>
                      <w:rFonts w:hint="default" w:ascii="宋体" w:hAnsi="宋体"/>
                      <w:color w:val="auto"/>
                      <w:sz w:val="15"/>
                      <w:szCs w:val="15"/>
                    </w:rPr>
                    <w:t>）浓度 （</w:t>
                  </w:r>
                  <w:r>
                    <w:rPr>
                      <w:rFonts w:hint="default"/>
                      <w:color w:val="auto"/>
                      <w:sz w:val="15"/>
                      <w:szCs w:val="15"/>
                    </w:rPr>
                    <w:t>mg/L</w:t>
                  </w:r>
                  <w:r>
                    <w:rPr>
                      <w:rFonts w:hint="default" w:ascii="宋体" w:hAnsi="宋体"/>
                      <w:color w:val="auto"/>
                      <w:sz w:val="15"/>
                      <w:szCs w:val="15"/>
                    </w:rPr>
                    <w:t>）</w:t>
                  </w:r>
                </w:p>
                <w:p w14:paraId="7260F779">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最高允许排放负荷（</w:t>
                  </w:r>
                  <w:r>
                    <w:rPr>
                      <w:rFonts w:hint="default"/>
                      <w:color w:val="auto"/>
                      <w:sz w:val="15"/>
                      <w:szCs w:val="15"/>
                    </w:rPr>
                    <w:t>g/</w:t>
                  </w:r>
                  <w:r>
                    <w:rPr>
                      <w:rFonts w:hint="default" w:ascii="宋体" w:hAnsi="宋体"/>
                      <w:color w:val="auto"/>
                      <w:sz w:val="15"/>
                      <w:szCs w:val="15"/>
                    </w:rPr>
                    <w:t>床位）</w:t>
                  </w:r>
                </w:p>
              </w:tc>
              <w:tc>
                <w:tcPr>
                  <w:tcW w:w="1629" w:type="dxa"/>
                  <w:tcBorders>
                    <w:top w:val="single" w:color="auto" w:sz="4" w:space="0"/>
                    <w:left w:val="nil"/>
                    <w:bottom w:val="single" w:color="auto" w:sz="4" w:space="0"/>
                    <w:right w:val="single" w:color="auto" w:sz="4" w:space="0"/>
                  </w:tcBorders>
                  <w:vAlign w:val="center"/>
                </w:tcPr>
                <w:p w14:paraId="4E155B50">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25</w:t>
                  </w:r>
                  <w:r>
                    <w:rPr>
                      <w:rFonts w:hint="default"/>
                      <w:color w:val="auto"/>
                      <w:sz w:val="15"/>
                      <w:szCs w:val="15"/>
                    </w:rPr>
                    <w:t>0</w:t>
                  </w:r>
                </w:p>
                <w:p w14:paraId="28C292B9">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25</w:t>
                  </w:r>
                  <w:r>
                    <w:rPr>
                      <w:rFonts w:hint="default"/>
                      <w:color w:val="auto"/>
                      <w:sz w:val="15"/>
                      <w:szCs w:val="15"/>
                    </w:rPr>
                    <w:t>0</w:t>
                  </w:r>
                </w:p>
              </w:tc>
            </w:tr>
            <w:tr w14:paraId="055E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5ED5A4B1">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6</w:t>
                  </w:r>
                </w:p>
              </w:tc>
              <w:tc>
                <w:tcPr>
                  <w:tcW w:w="5404" w:type="dxa"/>
                  <w:tcBorders>
                    <w:top w:val="single" w:color="auto" w:sz="4" w:space="0"/>
                    <w:left w:val="nil"/>
                    <w:bottom w:val="single" w:color="auto" w:sz="4" w:space="0"/>
                    <w:right w:val="single" w:color="auto" w:sz="4" w:space="0"/>
                  </w:tcBorders>
                  <w:vAlign w:val="center"/>
                </w:tcPr>
                <w:p w14:paraId="311426D5">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生化需氧量（</w:t>
                  </w:r>
                  <w:r>
                    <w:rPr>
                      <w:rFonts w:hint="default"/>
                      <w:color w:val="auto"/>
                      <w:sz w:val="15"/>
                      <w:szCs w:val="15"/>
                    </w:rPr>
                    <w:t>BOD</w:t>
                  </w:r>
                  <w:r>
                    <w:rPr>
                      <w:rFonts w:hint="default" w:ascii="宋体" w:hAnsi="宋体"/>
                      <w:color w:val="auto"/>
                      <w:sz w:val="15"/>
                      <w:szCs w:val="15"/>
                    </w:rPr>
                    <w:t>）浓度 （</w:t>
                  </w:r>
                  <w:r>
                    <w:rPr>
                      <w:rFonts w:hint="default"/>
                      <w:color w:val="auto"/>
                      <w:sz w:val="15"/>
                      <w:szCs w:val="15"/>
                    </w:rPr>
                    <w:t>mg/L</w:t>
                  </w:r>
                  <w:r>
                    <w:rPr>
                      <w:rFonts w:hint="default" w:ascii="宋体" w:hAnsi="宋体"/>
                      <w:color w:val="auto"/>
                      <w:sz w:val="15"/>
                      <w:szCs w:val="15"/>
                    </w:rPr>
                    <w:t>）</w:t>
                  </w:r>
                </w:p>
                <w:p w14:paraId="70160042">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最高允许排放负荷（</w:t>
                  </w:r>
                  <w:r>
                    <w:rPr>
                      <w:rFonts w:hint="default"/>
                      <w:color w:val="auto"/>
                      <w:sz w:val="15"/>
                      <w:szCs w:val="15"/>
                    </w:rPr>
                    <w:t>g/</w:t>
                  </w:r>
                  <w:r>
                    <w:rPr>
                      <w:rFonts w:hint="default" w:ascii="宋体" w:hAnsi="宋体"/>
                      <w:color w:val="auto"/>
                      <w:sz w:val="15"/>
                      <w:szCs w:val="15"/>
                    </w:rPr>
                    <w:t>床位）</w:t>
                  </w:r>
                </w:p>
              </w:tc>
              <w:tc>
                <w:tcPr>
                  <w:tcW w:w="1629" w:type="dxa"/>
                  <w:tcBorders>
                    <w:top w:val="single" w:color="auto" w:sz="4" w:space="0"/>
                    <w:left w:val="nil"/>
                    <w:bottom w:val="single" w:color="auto" w:sz="4" w:space="0"/>
                    <w:right w:val="single" w:color="auto" w:sz="4" w:space="0"/>
                  </w:tcBorders>
                  <w:vAlign w:val="center"/>
                </w:tcPr>
                <w:p w14:paraId="66A26AEF">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10</w:t>
                  </w:r>
                  <w:r>
                    <w:rPr>
                      <w:rFonts w:hint="default"/>
                      <w:color w:val="auto"/>
                      <w:sz w:val="15"/>
                      <w:szCs w:val="15"/>
                    </w:rPr>
                    <w:t>0</w:t>
                  </w:r>
                </w:p>
                <w:p w14:paraId="748FAD61">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10</w:t>
                  </w:r>
                  <w:r>
                    <w:rPr>
                      <w:rFonts w:hint="default"/>
                      <w:color w:val="auto"/>
                      <w:sz w:val="15"/>
                      <w:szCs w:val="15"/>
                    </w:rPr>
                    <w:t>0</w:t>
                  </w:r>
                </w:p>
              </w:tc>
            </w:tr>
            <w:tr w14:paraId="3DC0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4606590C">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7</w:t>
                  </w:r>
                </w:p>
              </w:tc>
              <w:tc>
                <w:tcPr>
                  <w:tcW w:w="5404" w:type="dxa"/>
                  <w:tcBorders>
                    <w:top w:val="single" w:color="auto" w:sz="4" w:space="0"/>
                    <w:left w:val="nil"/>
                    <w:bottom w:val="single" w:color="auto" w:sz="4" w:space="0"/>
                    <w:right w:val="single" w:color="auto" w:sz="4" w:space="0"/>
                  </w:tcBorders>
                  <w:vAlign w:val="center"/>
                </w:tcPr>
                <w:p w14:paraId="7F50E767">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悬浮物（</w:t>
                  </w:r>
                  <w:r>
                    <w:rPr>
                      <w:rFonts w:hint="default"/>
                      <w:color w:val="auto"/>
                      <w:sz w:val="15"/>
                      <w:szCs w:val="15"/>
                    </w:rPr>
                    <w:t>SS</w:t>
                  </w:r>
                  <w:r>
                    <w:rPr>
                      <w:rFonts w:hint="default" w:ascii="宋体" w:hAnsi="宋体"/>
                      <w:color w:val="auto"/>
                      <w:sz w:val="15"/>
                      <w:szCs w:val="15"/>
                    </w:rPr>
                    <w:t>）浓度 （</w:t>
                  </w:r>
                  <w:r>
                    <w:rPr>
                      <w:rFonts w:hint="default"/>
                      <w:color w:val="auto"/>
                      <w:sz w:val="15"/>
                      <w:szCs w:val="15"/>
                    </w:rPr>
                    <w:t>mg/L</w:t>
                  </w:r>
                  <w:r>
                    <w:rPr>
                      <w:rFonts w:hint="default" w:ascii="宋体" w:hAnsi="宋体"/>
                      <w:color w:val="auto"/>
                      <w:sz w:val="15"/>
                      <w:szCs w:val="15"/>
                    </w:rPr>
                    <w:t>）</w:t>
                  </w:r>
                </w:p>
                <w:p w14:paraId="001CC7AB">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最高允许排放负荷（</w:t>
                  </w:r>
                  <w:r>
                    <w:rPr>
                      <w:rFonts w:hint="default"/>
                      <w:color w:val="auto"/>
                      <w:sz w:val="15"/>
                      <w:szCs w:val="15"/>
                    </w:rPr>
                    <w:t>g/</w:t>
                  </w:r>
                  <w:r>
                    <w:rPr>
                      <w:rFonts w:hint="default" w:ascii="宋体" w:hAnsi="宋体"/>
                      <w:color w:val="auto"/>
                      <w:sz w:val="15"/>
                      <w:szCs w:val="15"/>
                    </w:rPr>
                    <w:t>床位）</w:t>
                  </w:r>
                </w:p>
              </w:tc>
              <w:tc>
                <w:tcPr>
                  <w:tcW w:w="1629" w:type="dxa"/>
                  <w:tcBorders>
                    <w:top w:val="single" w:color="auto" w:sz="4" w:space="0"/>
                    <w:left w:val="nil"/>
                    <w:bottom w:val="single" w:color="auto" w:sz="4" w:space="0"/>
                    <w:right w:val="single" w:color="auto" w:sz="4" w:space="0"/>
                  </w:tcBorders>
                  <w:vAlign w:val="center"/>
                </w:tcPr>
                <w:p w14:paraId="77C241C8">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6</w:t>
                  </w:r>
                  <w:r>
                    <w:rPr>
                      <w:rFonts w:hint="default"/>
                      <w:color w:val="auto"/>
                      <w:sz w:val="15"/>
                      <w:szCs w:val="15"/>
                    </w:rPr>
                    <w:t>0</w:t>
                  </w:r>
                </w:p>
                <w:p w14:paraId="6D269CD9">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6</w:t>
                  </w:r>
                  <w:r>
                    <w:rPr>
                      <w:rFonts w:hint="default"/>
                      <w:color w:val="auto"/>
                      <w:sz w:val="15"/>
                      <w:szCs w:val="15"/>
                    </w:rPr>
                    <w:t>0</w:t>
                  </w:r>
                </w:p>
              </w:tc>
            </w:tr>
            <w:tr w14:paraId="45BD8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62A7A37B">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8</w:t>
                  </w:r>
                </w:p>
              </w:tc>
              <w:tc>
                <w:tcPr>
                  <w:tcW w:w="5404" w:type="dxa"/>
                  <w:tcBorders>
                    <w:top w:val="single" w:color="auto" w:sz="4" w:space="0"/>
                    <w:left w:val="nil"/>
                    <w:bottom w:val="single" w:color="auto" w:sz="4" w:space="0"/>
                    <w:right w:val="single" w:color="auto" w:sz="4" w:space="0"/>
                  </w:tcBorders>
                </w:tcPr>
                <w:p w14:paraId="43EAF460">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氨氮（</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vAlign w:val="center"/>
                </w:tcPr>
                <w:p w14:paraId="4B311CBD">
                  <w:pPr>
                    <w:keepNext w:val="0"/>
                    <w:keepLines w:val="0"/>
                    <w:suppressLineNumbers w:val="0"/>
                    <w:spacing w:before="0" w:beforeAutospacing="0" w:after="0" w:afterAutospacing="0" w:line="280" w:lineRule="exact"/>
                    <w:ind w:left="0" w:right="0"/>
                    <w:jc w:val="center"/>
                    <w:rPr>
                      <w:rFonts w:hint="default" w:ascii="宋体" w:hAnsi="宋体"/>
                      <w:color w:val="auto"/>
                      <w:sz w:val="15"/>
                      <w:szCs w:val="15"/>
                    </w:rPr>
                  </w:pPr>
                  <w:r>
                    <w:rPr>
                      <w:rFonts w:hint="eastAsia"/>
                      <w:color w:val="auto"/>
                      <w:sz w:val="15"/>
                      <w:szCs w:val="15"/>
                    </w:rPr>
                    <w:t>-</w:t>
                  </w:r>
                </w:p>
              </w:tc>
            </w:tr>
            <w:tr w14:paraId="34DF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694A3254">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9</w:t>
                  </w:r>
                </w:p>
              </w:tc>
              <w:tc>
                <w:tcPr>
                  <w:tcW w:w="5404" w:type="dxa"/>
                  <w:tcBorders>
                    <w:top w:val="single" w:color="auto" w:sz="4" w:space="0"/>
                    <w:left w:val="nil"/>
                    <w:bottom w:val="single" w:color="auto" w:sz="4" w:space="0"/>
                    <w:right w:val="single" w:color="auto" w:sz="4" w:space="0"/>
                  </w:tcBorders>
                </w:tcPr>
                <w:p w14:paraId="38428AA8">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动植物油（</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vAlign w:val="center"/>
                </w:tcPr>
                <w:p w14:paraId="4BC52DCA">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20</w:t>
                  </w:r>
                </w:p>
              </w:tc>
            </w:tr>
            <w:tr w14:paraId="4528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1B0B667A">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10</w:t>
                  </w:r>
                </w:p>
              </w:tc>
              <w:tc>
                <w:tcPr>
                  <w:tcW w:w="5404" w:type="dxa"/>
                  <w:tcBorders>
                    <w:top w:val="single" w:color="auto" w:sz="4" w:space="0"/>
                    <w:left w:val="nil"/>
                    <w:bottom w:val="single" w:color="auto" w:sz="4" w:space="0"/>
                    <w:right w:val="single" w:color="auto" w:sz="4" w:space="0"/>
                  </w:tcBorders>
                </w:tcPr>
                <w:p w14:paraId="6EA692B0">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石油类（</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vAlign w:val="center"/>
                </w:tcPr>
                <w:p w14:paraId="54679AAB">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20</w:t>
                  </w:r>
                </w:p>
              </w:tc>
            </w:tr>
            <w:tr w14:paraId="335C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73EB0EA7">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11</w:t>
                  </w:r>
                </w:p>
              </w:tc>
              <w:tc>
                <w:tcPr>
                  <w:tcW w:w="5404" w:type="dxa"/>
                  <w:tcBorders>
                    <w:top w:val="single" w:color="auto" w:sz="4" w:space="0"/>
                    <w:left w:val="nil"/>
                    <w:bottom w:val="single" w:color="auto" w:sz="4" w:space="0"/>
                    <w:right w:val="single" w:color="auto" w:sz="4" w:space="0"/>
                  </w:tcBorders>
                </w:tcPr>
                <w:p w14:paraId="0FBFD1D4">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阴离子表面活性剂（</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vAlign w:val="center"/>
                </w:tcPr>
                <w:p w14:paraId="12985960">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10</w:t>
                  </w:r>
                </w:p>
              </w:tc>
            </w:tr>
            <w:tr w14:paraId="3BFD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7F89779B">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12</w:t>
                  </w:r>
                </w:p>
              </w:tc>
              <w:tc>
                <w:tcPr>
                  <w:tcW w:w="5404" w:type="dxa"/>
                  <w:tcBorders>
                    <w:top w:val="single" w:color="auto" w:sz="4" w:space="0"/>
                    <w:left w:val="nil"/>
                    <w:bottom w:val="single" w:color="auto" w:sz="4" w:space="0"/>
                    <w:right w:val="single" w:color="auto" w:sz="4" w:space="0"/>
                  </w:tcBorders>
                </w:tcPr>
                <w:p w14:paraId="300E13C5">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色度（稀释倍数）</w:t>
                  </w:r>
                </w:p>
              </w:tc>
              <w:tc>
                <w:tcPr>
                  <w:tcW w:w="1629" w:type="dxa"/>
                  <w:tcBorders>
                    <w:top w:val="single" w:color="auto" w:sz="4" w:space="0"/>
                    <w:left w:val="nil"/>
                    <w:bottom w:val="single" w:color="auto" w:sz="4" w:space="0"/>
                    <w:right w:val="single" w:color="auto" w:sz="4" w:space="0"/>
                  </w:tcBorders>
                  <w:vAlign w:val="center"/>
                </w:tcPr>
                <w:p w14:paraId="4899A7E9">
                  <w:pPr>
                    <w:keepNext w:val="0"/>
                    <w:keepLines w:val="0"/>
                    <w:suppressLineNumbers w:val="0"/>
                    <w:spacing w:before="0" w:beforeAutospacing="0" w:after="0" w:afterAutospacing="0" w:line="280" w:lineRule="exact"/>
                    <w:ind w:left="0" w:right="0"/>
                    <w:jc w:val="center"/>
                    <w:rPr>
                      <w:rFonts w:hint="default" w:ascii="宋体" w:hAnsi="宋体"/>
                      <w:color w:val="auto"/>
                      <w:sz w:val="15"/>
                      <w:szCs w:val="15"/>
                    </w:rPr>
                  </w:pPr>
                  <w:r>
                    <w:rPr>
                      <w:rFonts w:hint="eastAsia"/>
                      <w:color w:val="auto"/>
                      <w:sz w:val="15"/>
                      <w:szCs w:val="15"/>
                    </w:rPr>
                    <w:t>-</w:t>
                  </w:r>
                </w:p>
              </w:tc>
            </w:tr>
            <w:tr w14:paraId="3556E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343D57E8">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13</w:t>
                  </w:r>
                </w:p>
              </w:tc>
              <w:tc>
                <w:tcPr>
                  <w:tcW w:w="5404" w:type="dxa"/>
                  <w:tcBorders>
                    <w:top w:val="single" w:color="auto" w:sz="4" w:space="0"/>
                    <w:left w:val="nil"/>
                    <w:bottom w:val="single" w:color="auto" w:sz="4" w:space="0"/>
                    <w:right w:val="single" w:color="auto" w:sz="4" w:space="0"/>
                  </w:tcBorders>
                </w:tcPr>
                <w:p w14:paraId="6658272A">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挥发酚（</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vAlign w:val="center"/>
                </w:tcPr>
                <w:p w14:paraId="0EE41041">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1.</w:t>
                  </w:r>
                  <w:r>
                    <w:rPr>
                      <w:rFonts w:hint="default"/>
                      <w:color w:val="auto"/>
                      <w:sz w:val="15"/>
                      <w:szCs w:val="15"/>
                    </w:rPr>
                    <w:t>0</w:t>
                  </w:r>
                </w:p>
              </w:tc>
            </w:tr>
            <w:tr w14:paraId="40B89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795B4631">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14</w:t>
                  </w:r>
                </w:p>
              </w:tc>
              <w:tc>
                <w:tcPr>
                  <w:tcW w:w="5404" w:type="dxa"/>
                  <w:tcBorders>
                    <w:top w:val="single" w:color="auto" w:sz="4" w:space="0"/>
                    <w:left w:val="nil"/>
                    <w:bottom w:val="single" w:color="auto" w:sz="4" w:space="0"/>
                    <w:right w:val="single" w:color="auto" w:sz="4" w:space="0"/>
                  </w:tcBorders>
                </w:tcPr>
                <w:p w14:paraId="52CE0409">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总氰化物（</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tcPr>
                <w:p w14:paraId="1CD5D414">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0.5</w:t>
                  </w:r>
                </w:p>
              </w:tc>
            </w:tr>
            <w:tr w14:paraId="576D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777A730A">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15</w:t>
                  </w:r>
                </w:p>
              </w:tc>
              <w:tc>
                <w:tcPr>
                  <w:tcW w:w="5404" w:type="dxa"/>
                  <w:tcBorders>
                    <w:top w:val="single" w:color="auto" w:sz="4" w:space="0"/>
                    <w:left w:val="nil"/>
                    <w:bottom w:val="single" w:color="auto" w:sz="4" w:space="0"/>
                    <w:right w:val="single" w:color="auto" w:sz="4" w:space="0"/>
                  </w:tcBorders>
                </w:tcPr>
                <w:p w14:paraId="54F78F04">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总汞（</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tcPr>
                <w:p w14:paraId="2CB9C5E8">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0.05</w:t>
                  </w:r>
                </w:p>
              </w:tc>
            </w:tr>
            <w:tr w14:paraId="6485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13544A99">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16</w:t>
                  </w:r>
                </w:p>
              </w:tc>
              <w:tc>
                <w:tcPr>
                  <w:tcW w:w="5404" w:type="dxa"/>
                  <w:tcBorders>
                    <w:top w:val="single" w:color="auto" w:sz="4" w:space="0"/>
                    <w:left w:val="nil"/>
                    <w:bottom w:val="single" w:color="auto" w:sz="4" w:space="0"/>
                    <w:right w:val="single" w:color="auto" w:sz="4" w:space="0"/>
                  </w:tcBorders>
                </w:tcPr>
                <w:p w14:paraId="221EC986">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总镉（</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tcPr>
                <w:p w14:paraId="5AC679AA">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0.1</w:t>
                  </w:r>
                </w:p>
              </w:tc>
            </w:tr>
            <w:tr w14:paraId="3E0E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09C40177">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17</w:t>
                  </w:r>
                </w:p>
              </w:tc>
              <w:tc>
                <w:tcPr>
                  <w:tcW w:w="5404" w:type="dxa"/>
                  <w:tcBorders>
                    <w:top w:val="single" w:color="auto" w:sz="4" w:space="0"/>
                    <w:left w:val="nil"/>
                    <w:bottom w:val="single" w:color="auto" w:sz="4" w:space="0"/>
                    <w:right w:val="single" w:color="auto" w:sz="4" w:space="0"/>
                  </w:tcBorders>
                </w:tcPr>
                <w:p w14:paraId="2CC22400">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总铬（</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tcPr>
                <w:p w14:paraId="002C69F9">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1.5</w:t>
                  </w:r>
                </w:p>
              </w:tc>
            </w:tr>
            <w:tr w14:paraId="3C75A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736A6F1E">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18</w:t>
                  </w:r>
                </w:p>
              </w:tc>
              <w:tc>
                <w:tcPr>
                  <w:tcW w:w="5404" w:type="dxa"/>
                  <w:tcBorders>
                    <w:top w:val="single" w:color="auto" w:sz="4" w:space="0"/>
                    <w:left w:val="nil"/>
                    <w:bottom w:val="single" w:color="auto" w:sz="4" w:space="0"/>
                    <w:right w:val="single" w:color="auto" w:sz="4" w:space="0"/>
                  </w:tcBorders>
                  <w:vAlign w:val="center"/>
                </w:tcPr>
                <w:p w14:paraId="2EC8AEB3">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六价铬（</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tcPr>
                <w:p w14:paraId="2D4E4E7E">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0.5</w:t>
                  </w:r>
                </w:p>
              </w:tc>
            </w:tr>
            <w:tr w14:paraId="156D3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0A79F414">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19</w:t>
                  </w:r>
                </w:p>
              </w:tc>
              <w:tc>
                <w:tcPr>
                  <w:tcW w:w="5404" w:type="dxa"/>
                  <w:tcBorders>
                    <w:top w:val="single" w:color="auto" w:sz="4" w:space="0"/>
                    <w:left w:val="nil"/>
                    <w:bottom w:val="single" w:color="auto" w:sz="4" w:space="0"/>
                    <w:right w:val="single" w:color="auto" w:sz="4" w:space="0"/>
                  </w:tcBorders>
                </w:tcPr>
                <w:p w14:paraId="031B365A">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总砷（</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tcPr>
                <w:p w14:paraId="02810922">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0.5</w:t>
                  </w:r>
                </w:p>
              </w:tc>
            </w:tr>
            <w:tr w14:paraId="47F1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05F03A0E">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20</w:t>
                  </w:r>
                </w:p>
              </w:tc>
              <w:tc>
                <w:tcPr>
                  <w:tcW w:w="5404" w:type="dxa"/>
                  <w:tcBorders>
                    <w:top w:val="single" w:color="auto" w:sz="4" w:space="0"/>
                    <w:left w:val="nil"/>
                    <w:bottom w:val="single" w:color="auto" w:sz="4" w:space="0"/>
                    <w:right w:val="single" w:color="auto" w:sz="4" w:space="0"/>
                  </w:tcBorders>
                </w:tcPr>
                <w:p w14:paraId="2C7C5EFF">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总铅（</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tcPr>
                <w:p w14:paraId="21C87DC9">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1.0</w:t>
                  </w:r>
                </w:p>
              </w:tc>
            </w:tr>
            <w:tr w14:paraId="6A0C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2A963000">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21</w:t>
                  </w:r>
                </w:p>
              </w:tc>
              <w:tc>
                <w:tcPr>
                  <w:tcW w:w="5404" w:type="dxa"/>
                  <w:tcBorders>
                    <w:top w:val="single" w:color="auto" w:sz="4" w:space="0"/>
                    <w:left w:val="nil"/>
                    <w:bottom w:val="single" w:color="auto" w:sz="4" w:space="0"/>
                    <w:right w:val="single" w:color="auto" w:sz="4" w:space="0"/>
                  </w:tcBorders>
                  <w:vAlign w:val="center"/>
                </w:tcPr>
                <w:p w14:paraId="767DF368">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总银（</w:t>
                  </w:r>
                  <w:r>
                    <w:rPr>
                      <w:rFonts w:hint="default"/>
                      <w:color w:val="auto"/>
                      <w:sz w:val="15"/>
                      <w:szCs w:val="15"/>
                    </w:rPr>
                    <w:t>mg/L</w:t>
                  </w:r>
                  <w:r>
                    <w:rPr>
                      <w:rFonts w:hint="default" w:ascii="宋体" w:hAnsi="宋体"/>
                      <w:color w:val="auto"/>
                      <w:sz w:val="15"/>
                      <w:szCs w:val="15"/>
                    </w:rPr>
                    <w:t>）</w:t>
                  </w:r>
                </w:p>
              </w:tc>
              <w:tc>
                <w:tcPr>
                  <w:tcW w:w="1629" w:type="dxa"/>
                  <w:tcBorders>
                    <w:top w:val="single" w:color="auto" w:sz="4" w:space="0"/>
                    <w:left w:val="nil"/>
                    <w:bottom w:val="single" w:color="auto" w:sz="4" w:space="0"/>
                    <w:right w:val="single" w:color="auto" w:sz="4" w:space="0"/>
                  </w:tcBorders>
                  <w:vAlign w:val="center"/>
                </w:tcPr>
                <w:p w14:paraId="5C29D97D">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0.5</w:t>
                  </w:r>
                </w:p>
              </w:tc>
            </w:tr>
            <w:tr w14:paraId="1565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03E7B058">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22</w:t>
                  </w:r>
                </w:p>
              </w:tc>
              <w:tc>
                <w:tcPr>
                  <w:tcW w:w="5404" w:type="dxa"/>
                  <w:tcBorders>
                    <w:top w:val="single" w:color="auto" w:sz="4" w:space="0"/>
                    <w:left w:val="nil"/>
                    <w:bottom w:val="single" w:color="auto" w:sz="4" w:space="0"/>
                    <w:right w:val="single" w:color="auto" w:sz="4" w:space="0"/>
                  </w:tcBorders>
                </w:tcPr>
                <w:p w14:paraId="4544B109">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总</w:t>
                  </w:r>
                  <w:r>
                    <w:rPr>
                      <w:rFonts w:hint="default"/>
                      <w:color w:val="auto"/>
                      <w:sz w:val="15"/>
                      <w:szCs w:val="15"/>
                    </w:rPr>
                    <w:t>α(Bq/L)</w:t>
                  </w:r>
                </w:p>
              </w:tc>
              <w:tc>
                <w:tcPr>
                  <w:tcW w:w="1629" w:type="dxa"/>
                  <w:tcBorders>
                    <w:top w:val="single" w:color="auto" w:sz="4" w:space="0"/>
                    <w:left w:val="nil"/>
                    <w:bottom w:val="single" w:color="auto" w:sz="4" w:space="0"/>
                    <w:right w:val="single" w:color="auto" w:sz="4" w:space="0"/>
                  </w:tcBorders>
                </w:tcPr>
                <w:p w14:paraId="407EB30B">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w:t>
                  </w:r>
                </w:p>
              </w:tc>
            </w:tr>
            <w:tr w14:paraId="099C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00ECF46B">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23</w:t>
                  </w:r>
                </w:p>
              </w:tc>
              <w:tc>
                <w:tcPr>
                  <w:tcW w:w="5404" w:type="dxa"/>
                  <w:tcBorders>
                    <w:top w:val="single" w:color="auto" w:sz="4" w:space="0"/>
                    <w:left w:val="nil"/>
                    <w:bottom w:val="single" w:color="auto" w:sz="4" w:space="0"/>
                    <w:right w:val="single" w:color="auto" w:sz="4" w:space="0"/>
                  </w:tcBorders>
                </w:tcPr>
                <w:p w14:paraId="769E988D">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总</w:t>
                  </w:r>
                  <w:r>
                    <w:rPr>
                      <w:rFonts w:hint="default"/>
                      <w:color w:val="auto"/>
                      <w:sz w:val="15"/>
                      <w:szCs w:val="15"/>
                    </w:rPr>
                    <w:t>β(Bq/L)</w:t>
                  </w:r>
                </w:p>
              </w:tc>
              <w:tc>
                <w:tcPr>
                  <w:tcW w:w="1629" w:type="dxa"/>
                  <w:tcBorders>
                    <w:top w:val="single" w:color="auto" w:sz="4" w:space="0"/>
                    <w:left w:val="nil"/>
                    <w:bottom w:val="single" w:color="auto" w:sz="4" w:space="0"/>
                    <w:right w:val="single" w:color="auto" w:sz="4" w:space="0"/>
                  </w:tcBorders>
                </w:tcPr>
                <w:p w14:paraId="5F184CE1">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10</w:t>
                  </w:r>
                </w:p>
              </w:tc>
            </w:tr>
            <w:tr w14:paraId="3479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66" w:type="dxa"/>
                  <w:tcBorders>
                    <w:top w:val="single" w:color="auto" w:sz="4" w:space="0"/>
                    <w:left w:val="single" w:color="auto" w:sz="4" w:space="0"/>
                    <w:bottom w:val="single" w:color="auto" w:sz="4" w:space="0"/>
                    <w:right w:val="single" w:color="auto" w:sz="4" w:space="0"/>
                  </w:tcBorders>
                  <w:vAlign w:val="center"/>
                </w:tcPr>
                <w:p w14:paraId="6276D508">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default"/>
                      <w:color w:val="auto"/>
                      <w:sz w:val="15"/>
                      <w:szCs w:val="15"/>
                    </w:rPr>
                    <w:t>24</w:t>
                  </w:r>
                </w:p>
              </w:tc>
              <w:tc>
                <w:tcPr>
                  <w:tcW w:w="5404" w:type="dxa"/>
                  <w:tcBorders>
                    <w:top w:val="single" w:color="auto" w:sz="4" w:space="0"/>
                    <w:left w:val="nil"/>
                    <w:bottom w:val="single" w:color="auto" w:sz="4" w:space="0"/>
                    <w:right w:val="single" w:color="auto" w:sz="4" w:space="0"/>
                  </w:tcBorders>
                </w:tcPr>
                <w:p w14:paraId="74BFA285">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ascii="宋体" w:hAnsi="宋体"/>
                      <w:color w:val="auto"/>
                      <w:sz w:val="15"/>
                      <w:szCs w:val="15"/>
                    </w:rPr>
                    <w:t>总余氯</w:t>
                  </w:r>
                  <w:r>
                    <w:rPr>
                      <w:rFonts w:hint="default"/>
                      <w:color w:val="auto"/>
                      <w:sz w:val="15"/>
                      <w:szCs w:val="15"/>
                      <w:vertAlign w:val="superscript"/>
                    </w:rPr>
                    <w:t>1</w:t>
                  </w:r>
                  <w:r>
                    <w:rPr>
                      <w:rFonts w:hint="default" w:ascii="宋体" w:hAnsi="宋体"/>
                      <w:color w:val="auto"/>
                      <w:sz w:val="15"/>
                      <w:szCs w:val="15"/>
                      <w:vertAlign w:val="superscript"/>
                    </w:rPr>
                    <w:t>）</w:t>
                  </w:r>
                  <w:r>
                    <w:rPr>
                      <w:rFonts w:hint="default"/>
                      <w:color w:val="auto"/>
                      <w:sz w:val="15"/>
                      <w:szCs w:val="15"/>
                      <w:vertAlign w:val="superscript"/>
                    </w:rPr>
                    <w:t>2</w:t>
                  </w:r>
                  <w:r>
                    <w:rPr>
                      <w:rFonts w:hint="default" w:ascii="宋体" w:hAnsi="宋体"/>
                      <w:color w:val="auto"/>
                      <w:sz w:val="15"/>
                      <w:szCs w:val="15"/>
                      <w:vertAlign w:val="superscript"/>
                    </w:rPr>
                    <w:t>）</w:t>
                  </w:r>
                  <w:r>
                    <w:rPr>
                      <w:rFonts w:hint="default" w:ascii="宋体" w:hAnsi="宋体"/>
                      <w:color w:val="auto"/>
                      <w:sz w:val="15"/>
                      <w:szCs w:val="15"/>
                    </w:rPr>
                    <w:t>（</w:t>
                  </w:r>
                  <w:r>
                    <w:rPr>
                      <w:rFonts w:hint="default"/>
                      <w:color w:val="auto"/>
                      <w:sz w:val="15"/>
                      <w:szCs w:val="15"/>
                    </w:rPr>
                    <w:t>mg/L</w:t>
                  </w:r>
                  <w:r>
                    <w:rPr>
                      <w:rFonts w:hint="default" w:ascii="宋体" w:hAnsi="宋体"/>
                      <w:color w:val="auto"/>
                      <w:sz w:val="15"/>
                      <w:szCs w:val="15"/>
                    </w:rPr>
                    <w:t>）（直接排入水体的要求）</w:t>
                  </w:r>
                </w:p>
              </w:tc>
              <w:tc>
                <w:tcPr>
                  <w:tcW w:w="1629" w:type="dxa"/>
                  <w:tcBorders>
                    <w:top w:val="single" w:color="auto" w:sz="4" w:space="0"/>
                    <w:left w:val="nil"/>
                    <w:bottom w:val="single" w:color="auto" w:sz="4" w:space="0"/>
                    <w:right w:val="single" w:color="auto" w:sz="4" w:space="0"/>
                  </w:tcBorders>
                  <w:vAlign w:val="center"/>
                </w:tcPr>
                <w:p w14:paraId="4281861D">
                  <w:pPr>
                    <w:keepNext w:val="0"/>
                    <w:keepLines w:val="0"/>
                    <w:suppressLineNumbers w:val="0"/>
                    <w:spacing w:before="0" w:beforeAutospacing="0" w:after="0" w:afterAutospacing="0" w:line="280" w:lineRule="exact"/>
                    <w:ind w:left="0" w:right="0"/>
                    <w:jc w:val="center"/>
                    <w:rPr>
                      <w:rFonts w:hint="default" w:ascii="宋体" w:hAnsi="宋体"/>
                      <w:color w:val="auto"/>
                      <w:sz w:val="15"/>
                      <w:szCs w:val="15"/>
                    </w:rPr>
                  </w:pPr>
                  <w:r>
                    <w:rPr>
                      <w:rFonts w:hint="eastAsia"/>
                      <w:color w:val="auto"/>
                      <w:sz w:val="15"/>
                      <w:szCs w:val="15"/>
                    </w:rPr>
                    <w:t>-</w:t>
                  </w:r>
                </w:p>
              </w:tc>
            </w:tr>
            <w:tr w14:paraId="0CEC2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799" w:type="dxa"/>
                  <w:gridSpan w:val="3"/>
                  <w:tcBorders>
                    <w:top w:val="single" w:color="auto" w:sz="4" w:space="0"/>
                    <w:left w:val="single" w:color="auto" w:sz="4" w:space="0"/>
                    <w:bottom w:val="single" w:color="auto" w:sz="4" w:space="0"/>
                    <w:right w:val="single" w:color="auto" w:sz="4" w:space="0"/>
                  </w:tcBorders>
                  <w:vAlign w:val="center"/>
                </w:tcPr>
                <w:p w14:paraId="453AE431">
                  <w:pPr>
                    <w:keepNext w:val="0"/>
                    <w:keepLines w:val="0"/>
                    <w:suppressLineNumbers w:val="0"/>
                    <w:spacing w:before="0" w:beforeAutospacing="0" w:after="0" w:afterAutospacing="0" w:line="280" w:lineRule="exact"/>
                    <w:ind w:left="533" w:right="0" w:hanging="532" w:hangingChars="355"/>
                    <w:rPr>
                      <w:rFonts w:hint="default"/>
                      <w:color w:val="auto"/>
                      <w:sz w:val="15"/>
                      <w:szCs w:val="15"/>
                    </w:rPr>
                  </w:pPr>
                  <w:r>
                    <w:rPr>
                      <w:rFonts w:hint="default" w:ascii="宋体" w:hAnsi="宋体"/>
                      <w:color w:val="auto"/>
                      <w:sz w:val="15"/>
                      <w:szCs w:val="15"/>
                    </w:rPr>
                    <w:t>注：</w:t>
                  </w:r>
                  <w:r>
                    <w:rPr>
                      <w:rFonts w:hint="default"/>
                      <w:color w:val="auto"/>
                      <w:sz w:val="15"/>
                      <w:szCs w:val="15"/>
                    </w:rPr>
                    <w:t>1</w:t>
                  </w:r>
                  <w:r>
                    <w:rPr>
                      <w:rFonts w:hint="default" w:ascii="宋体" w:hAnsi="宋体"/>
                      <w:color w:val="auto"/>
                      <w:sz w:val="15"/>
                      <w:szCs w:val="15"/>
                    </w:rPr>
                    <w:t>）采用含氯</w:t>
                  </w:r>
                  <w:r>
                    <w:rPr>
                      <w:rFonts w:hint="eastAsia" w:ascii="宋体" w:hAnsi="宋体"/>
                      <w:color w:val="auto"/>
                      <w:sz w:val="15"/>
                      <w:szCs w:val="15"/>
                      <w:lang w:eastAsia="zh-CN"/>
                    </w:rPr>
                    <w:t>消毒剂</w:t>
                  </w:r>
                  <w:r>
                    <w:rPr>
                      <w:rFonts w:hint="default" w:ascii="宋体" w:hAnsi="宋体"/>
                      <w:color w:val="auto"/>
                      <w:sz w:val="15"/>
                      <w:szCs w:val="15"/>
                    </w:rPr>
                    <w:t>消毒的工艺控制要求为：消毒接触池接触时间</w:t>
                  </w:r>
                  <w:r>
                    <w:rPr>
                      <w:rFonts w:hint="default"/>
                      <w:color w:val="auto"/>
                      <w:sz w:val="15"/>
                      <w:szCs w:val="15"/>
                    </w:rPr>
                    <w:t>≥1.5h</w:t>
                  </w:r>
                  <w:r>
                    <w:rPr>
                      <w:rFonts w:hint="default" w:ascii="宋体" w:hAnsi="宋体"/>
                      <w:color w:val="auto"/>
                      <w:sz w:val="15"/>
                      <w:szCs w:val="15"/>
                    </w:rPr>
                    <w:t>，接触池出口总余氯</w:t>
                  </w:r>
                  <w:r>
                    <w:rPr>
                      <w:rFonts w:hint="default"/>
                      <w:color w:val="auto"/>
                      <w:sz w:val="15"/>
                      <w:szCs w:val="15"/>
                    </w:rPr>
                    <w:t>6.5-10 mg/L</w:t>
                  </w:r>
                  <w:r>
                    <w:rPr>
                      <w:rFonts w:hint="default" w:ascii="宋体" w:hAnsi="宋体"/>
                      <w:color w:val="auto"/>
                      <w:sz w:val="15"/>
                      <w:szCs w:val="15"/>
                    </w:rPr>
                    <w:t>。</w:t>
                  </w:r>
                </w:p>
                <w:p w14:paraId="4BCEFD9C">
                  <w:pPr>
                    <w:keepNext w:val="0"/>
                    <w:keepLines w:val="0"/>
                    <w:suppressLineNumbers w:val="0"/>
                    <w:spacing w:before="0" w:beforeAutospacing="0" w:after="0" w:afterAutospacing="0" w:line="280" w:lineRule="exact"/>
                    <w:ind w:left="0" w:right="0"/>
                    <w:rPr>
                      <w:rFonts w:hint="default"/>
                      <w:color w:val="auto"/>
                      <w:sz w:val="15"/>
                      <w:szCs w:val="15"/>
                    </w:rPr>
                  </w:pPr>
                  <w:r>
                    <w:rPr>
                      <w:rFonts w:hint="default"/>
                      <w:color w:val="auto"/>
                      <w:sz w:val="15"/>
                      <w:szCs w:val="15"/>
                    </w:rPr>
                    <w:t xml:space="preserve">   2</w:t>
                  </w:r>
                  <w:r>
                    <w:rPr>
                      <w:rFonts w:hint="default" w:ascii="宋体" w:hAnsi="宋体"/>
                      <w:color w:val="auto"/>
                      <w:sz w:val="15"/>
                      <w:szCs w:val="15"/>
                    </w:rPr>
                    <w:t>）采用其他</w:t>
                  </w:r>
                  <w:r>
                    <w:rPr>
                      <w:rFonts w:hint="eastAsia" w:ascii="宋体" w:hAnsi="宋体"/>
                      <w:color w:val="auto"/>
                      <w:sz w:val="15"/>
                      <w:szCs w:val="15"/>
                      <w:lang w:eastAsia="zh-CN"/>
                    </w:rPr>
                    <w:t>消毒剂</w:t>
                  </w:r>
                  <w:r>
                    <w:rPr>
                      <w:rFonts w:hint="default" w:ascii="宋体" w:hAnsi="宋体"/>
                      <w:color w:val="auto"/>
                      <w:sz w:val="15"/>
                      <w:szCs w:val="15"/>
                    </w:rPr>
                    <w:t>对总余氯不作要求。</w:t>
                  </w:r>
                </w:p>
              </w:tc>
            </w:tr>
          </w:tbl>
          <w:p w14:paraId="2A281DFD">
            <w:pPr>
              <w:keepNext w:val="0"/>
              <w:keepLines w:val="0"/>
              <w:suppressLineNumbers w:val="0"/>
              <w:snapToGrid w:val="0"/>
              <w:spacing w:before="0" w:beforeAutospacing="0" w:after="0" w:afterAutospacing="0" w:line="400" w:lineRule="exact"/>
              <w:ind w:left="0" w:right="0"/>
              <w:rPr>
                <w:rFonts w:hint="default"/>
                <w:color w:val="auto"/>
                <w:szCs w:val="21"/>
              </w:rPr>
            </w:pPr>
            <w:r>
              <w:rPr>
                <w:rFonts w:hint="eastAsia"/>
                <w:color w:val="auto"/>
                <w:szCs w:val="21"/>
              </w:rPr>
              <w:t>3.</w:t>
            </w:r>
            <w:r>
              <w:rPr>
                <w:rFonts w:hint="default"/>
                <w:color w:val="auto"/>
                <w:szCs w:val="21"/>
              </w:rPr>
              <w:t>施工期执行《建筑施工场界环境噪声排放标准》(GBl2523－2011)标准；</w:t>
            </w:r>
          </w:p>
          <w:p w14:paraId="1341FE13">
            <w:pPr>
              <w:keepNext w:val="0"/>
              <w:keepLines w:val="0"/>
              <w:suppressLineNumbers w:val="0"/>
              <w:snapToGrid w:val="0"/>
              <w:spacing w:before="0" w:beforeAutospacing="0" w:after="0" w:afterAutospacing="0" w:line="400" w:lineRule="exact"/>
              <w:ind w:left="0" w:right="0"/>
              <w:jc w:val="center"/>
              <w:rPr>
                <w:rFonts w:hint="default"/>
                <w:color w:val="auto"/>
                <w:szCs w:val="21"/>
              </w:rPr>
            </w:pPr>
            <w:r>
              <w:rPr>
                <w:rFonts w:hint="default"/>
                <w:color w:val="auto"/>
                <w:szCs w:val="21"/>
              </w:rPr>
              <w:t>昼间≤</w:t>
            </w:r>
            <w:r>
              <w:rPr>
                <w:rFonts w:hint="eastAsia"/>
                <w:color w:val="auto"/>
                <w:szCs w:val="21"/>
              </w:rPr>
              <w:t>70</w:t>
            </w:r>
            <w:r>
              <w:rPr>
                <w:rFonts w:hint="default"/>
                <w:color w:val="auto"/>
                <w:szCs w:val="21"/>
              </w:rPr>
              <w:t>dB(A)       夜间≤5</w:t>
            </w:r>
            <w:r>
              <w:rPr>
                <w:rFonts w:hint="eastAsia"/>
                <w:color w:val="auto"/>
                <w:szCs w:val="21"/>
              </w:rPr>
              <w:t>5</w:t>
            </w:r>
            <w:r>
              <w:rPr>
                <w:rFonts w:hint="default"/>
                <w:color w:val="auto"/>
                <w:szCs w:val="21"/>
              </w:rPr>
              <w:t>dB(A)</w:t>
            </w:r>
          </w:p>
          <w:p w14:paraId="1228B552">
            <w:pPr>
              <w:keepNext w:val="0"/>
              <w:keepLines w:val="0"/>
              <w:suppressLineNumbers w:val="0"/>
              <w:tabs>
                <w:tab w:val="left" w:pos="312"/>
              </w:tabs>
              <w:snapToGrid w:val="0"/>
              <w:spacing w:before="0" w:beforeAutospacing="0" w:after="0" w:afterAutospacing="0" w:line="400" w:lineRule="exact"/>
              <w:ind w:left="0" w:right="0"/>
              <w:rPr>
                <w:rFonts w:hint="default"/>
                <w:color w:val="auto"/>
                <w:szCs w:val="21"/>
              </w:rPr>
            </w:pPr>
            <w:r>
              <w:rPr>
                <w:rFonts w:hint="eastAsia"/>
                <w:color w:val="auto"/>
                <w:szCs w:val="21"/>
              </w:rPr>
              <w:t>4.</w:t>
            </w:r>
            <w:r>
              <w:rPr>
                <w:rFonts w:hint="default"/>
                <w:color w:val="auto"/>
                <w:szCs w:val="21"/>
              </w:rPr>
              <w:t>营运期噪声排放执行《工业企业厂界环境噪声排放标准》(GB12348－2008)中2类或</w:t>
            </w:r>
            <w:r>
              <w:rPr>
                <w:rFonts w:hint="eastAsia"/>
                <w:color w:val="auto"/>
                <w:szCs w:val="21"/>
              </w:rPr>
              <w:t>4a类</w:t>
            </w:r>
            <w:r>
              <w:rPr>
                <w:rFonts w:hint="default"/>
                <w:color w:val="auto"/>
                <w:szCs w:val="21"/>
              </w:rPr>
              <w:t>区标准。</w:t>
            </w:r>
          </w:p>
          <w:p w14:paraId="7DB05243">
            <w:pPr>
              <w:keepNext w:val="0"/>
              <w:keepLines w:val="0"/>
              <w:suppressLineNumbers w:val="0"/>
              <w:snapToGrid w:val="0"/>
              <w:spacing w:before="0" w:beforeAutospacing="0" w:after="0" w:afterAutospacing="0" w:line="400" w:lineRule="exact"/>
              <w:ind w:left="0" w:right="0"/>
              <w:jc w:val="center"/>
              <w:rPr>
                <w:rFonts w:hint="default" w:ascii="黑体" w:hAnsi="黑体" w:eastAsia="黑体"/>
                <w:color w:val="auto"/>
                <w:sz w:val="18"/>
                <w:szCs w:val="21"/>
              </w:rPr>
            </w:pPr>
            <w:r>
              <w:rPr>
                <w:rFonts w:hint="default" w:ascii="黑体" w:hAnsi="黑体" w:eastAsia="黑体"/>
                <w:color w:val="auto"/>
                <w:sz w:val="18"/>
                <w:szCs w:val="21"/>
              </w:rPr>
              <w:t>表</w:t>
            </w:r>
            <w:r>
              <w:rPr>
                <w:rFonts w:hint="eastAsia" w:ascii="黑体" w:hAnsi="黑体" w:eastAsia="黑体"/>
                <w:color w:val="auto"/>
                <w:sz w:val="18"/>
                <w:szCs w:val="21"/>
              </w:rPr>
              <w:t xml:space="preserve">3-7   </w:t>
            </w:r>
            <w:r>
              <w:rPr>
                <w:rFonts w:hint="default" w:ascii="黑体" w:hAnsi="黑体" w:eastAsia="黑体"/>
                <w:color w:val="auto"/>
                <w:sz w:val="18"/>
                <w:szCs w:val="21"/>
              </w:rPr>
              <w:t>工业企业厂界</w:t>
            </w:r>
            <w:r>
              <w:rPr>
                <w:rFonts w:hint="eastAsia" w:ascii="黑体" w:hAnsi="黑体" w:eastAsia="黑体"/>
                <w:color w:val="auto"/>
                <w:sz w:val="18"/>
                <w:szCs w:val="21"/>
              </w:rPr>
              <w:t>噪声排放标准</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1985"/>
              <w:gridCol w:w="1701"/>
              <w:gridCol w:w="1789"/>
            </w:tblGrid>
            <w:tr w14:paraId="23E14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1786" w:type="dxa"/>
                  <w:vAlign w:val="center"/>
                </w:tcPr>
                <w:p w14:paraId="683D0C19">
                  <w:pPr>
                    <w:keepNext w:val="0"/>
                    <w:keepLines w:val="0"/>
                    <w:suppressLineNumbers w:val="0"/>
                    <w:spacing w:before="0" w:beforeAutospacing="0" w:after="0" w:afterAutospacing="0" w:line="320" w:lineRule="exact"/>
                    <w:ind w:left="0" w:right="0"/>
                    <w:jc w:val="center"/>
                    <w:rPr>
                      <w:rFonts w:hint="default"/>
                      <w:color w:val="auto"/>
                      <w:sz w:val="18"/>
                      <w:szCs w:val="18"/>
                    </w:rPr>
                  </w:pPr>
                  <w:r>
                    <w:rPr>
                      <w:rFonts w:hint="default"/>
                      <w:color w:val="auto"/>
                      <w:sz w:val="18"/>
                      <w:szCs w:val="18"/>
                    </w:rPr>
                    <w:t>区域</w:t>
                  </w:r>
                </w:p>
              </w:tc>
              <w:tc>
                <w:tcPr>
                  <w:tcW w:w="1985" w:type="dxa"/>
                  <w:vAlign w:val="center"/>
                </w:tcPr>
                <w:p w14:paraId="6D192325">
                  <w:pPr>
                    <w:keepNext w:val="0"/>
                    <w:keepLines w:val="0"/>
                    <w:suppressLineNumbers w:val="0"/>
                    <w:spacing w:before="0" w:beforeAutospacing="0" w:after="0" w:afterAutospacing="0" w:line="320" w:lineRule="exact"/>
                    <w:ind w:left="0" w:right="0"/>
                    <w:jc w:val="center"/>
                    <w:rPr>
                      <w:rFonts w:hint="default"/>
                      <w:color w:val="auto"/>
                      <w:sz w:val="18"/>
                      <w:szCs w:val="18"/>
                    </w:rPr>
                  </w:pPr>
                  <w:r>
                    <w:rPr>
                      <w:rFonts w:hint="default"/>
                      <w:color w:val="auto"/>
                      <w:sz w:val="18"/>
                      <w:szCs w:val="18"/>
                    </w:rPr>
                    <w:t>时段</w:t>
                  </w:r>
                </w:p>
              </w:tc>
              <w:tc>
                <w:tcPr>
                  <w:tcW w:w="1701" w:type="dxa"/>
                  <w:vAlign w:val="center"/>
                </w:tcPr>
                <w:p w14:paraId="79F0EFC6">
                  <w:pPr>
                    <w:keepNext w:val="0"/>
                    <w:keepLines w:val="0"/>
                    <w:suppressLineNumbers w:val="0"/>
                    <w:spacing w:before="0" w:beforeAutospacing="0" w:after="0" w:afterAutospacing="0" w:line="320" w:lineRule="exact"/>
                    <w:ind w:left="0" w:right="0"/>
                    <w:jc w:val="center"/>
                    <w:rPr>
                      <w:rFonts w:hint="default"/>
                      <w:color w:val="auto"/>
                      <w:sz w:val="18"/>
                      <w:szCs w:val="18"/>
                    </w:rPr>
                  </w:pPr>
                  <w:r>
                    <w:rPr>
                      <w:rFonts w:hint="default"/>
                      <w:color w:val="auto"/>
                      <w:sz w:val="18"/>
                      <w:szCs w:val="18"/>
                    </w:rPr>
                    <w:t>昼间</w:t>
                  </w:r>
                </w:p>
              </w:tc>
              <w:tc>
                <w:tcPr>
                  <w:tcW w:w="1789" w:type="dxa"/>
                  <w:vAlign w:val="center"/>
                </w:tcPr>
                <w:p w14:paraId="60C80102">
                  <w:pPr>
                    <w:keepNext w:val="0"/>
                    <w:keepLines w:val="0"/>
                    <w:suppressLineNumbers w:val="0"/>
                    <w:spacing w:before="0" w:beforeAutospacing="0" w:after="0" w:afterAutospacing="0" w:line="320" w:lineRule="exact"/>
                    <w:ind w:left="0" w:right="0"/>
                    <w:jc w:val="center"/>
                    <w:rPr>
                      <w:rFonts w:hint="default"/>
                      <w:color w:val="auto"/>
                      <w:sz w:val="18"/>
                      <w:szCs w:val="18"/>
                    </w:rPr>
                  </w:pPr>
                  <w:r>
                    <w:rPr>
                      <w:rFonts w:hint="default"/>
                      <w:color w:val="auto"/>
                      <w:sz w:val="18"/>
                      <w:szCs w:val="18"/>
                    </w:rPr>
                    <w:t>夜间</w:t>
                  </w:r>
                </w:p>
              </w:tc>
            </w:tr>
            <w:tr w14:paraId="25F02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1786" w:type="dxa"/>
                  <w:vAlign w:val="center"/>
                </w:tcPr>
                <w:p w14:paraId="32EAE206">
                  <w:pPr>
                    <w:keepNext w:val="0"/>
                    <w:keepLines w:val="0"/>
                    <w:suppressLineNumbers w:val="0"/>
                    <w:spacing w:before="0" w:beforeAutospacing="0" w:after="0" w:afterAutospacing="0" w:line="320" w:lineRule="exact"/>
                    <w:ind w:left="0" w:right="0"/>
                    <w:jc w:val="center"/>
                    <w:rPr>
                      <w:rFonts w:hint="default" w:eastAsia="宋体"/>
                      <w:color w:val="auto"/>
                      <w:spacing w:val="-6"/>
                      <w:sz w:val="18"/>
                      <w:szCs w:val="18"/>
                      <w:lang w:val="en-US" w:eastAsia="zh-CN"/>
                    </w:rPr>
                  </w:pPr>
                  <w:r>
                    <w:rPr>
                      <w:rFonts w:hint="default"/>
                      <w:color w:val="auto"/>
                      <w:spacing w:val="-6"/>
                      <w:sz w:val="18"/>
                      <w:szCs w:val="18"/>
                    </w:rPr>
                    <w:t>项目</w:t>
                  </w:r>
                  <w:r>
                    <w:rPr>
                      <w:rFonts w:hint="eastAsia"/>
                      <w:color w:val="auto"/>
                      <w:spacing w:val="-6"/>
                      <w:sz w:val="18"/>
                      <w:szCs w:val="18"/>
                      <w:lang w:val="en-US" w:eastAsia="zh-CN"/>
                    </w:rPr>
                    <w:t>四周厂界</w:t>
                  </w:r>
                </w:p>
              </w:tc>
              <w:tc>
                <w:tcPr>
                  <w:tcW w:w="1985" w:type="dxa"/>
                  <w:vAlign w:val="center"/>
                </w:tcPr>
                <w:p w14:paraId="53D60250">
                  <w:pPr>
                    <w:keepNext w:val="0"/>
                    <w:keepLines w:val="0"/>
                    <w:suppressLineNumbers w:val="0"/>
                    <w:spacing w:before="0" w:beforeAutospacing="0" w:after="0" w:afterAutospacing="0" w:line="320" w:lineRule="exact"/>
                    <w:ind w:left="0" w:right="0"/>
                    <w:jc w:val="center"/>
                    <w:rPr>
                      <w:rFonts w:hint="default"/>
                      <w:color w:val="auto"/>
                      <w:spacing w:val="-6"/>
                      <w:sz w:val="18"/>
                      <w:szCs w:val="18"/>
                    </w:rPr>
                  </w:pPr>
                  <w:r>
                    <w:rPr>
                      <w:rFonts w:hint="default"/>
                      <w:color w:val="auto"/>
                      <w:spacing w:val="-6"/>
                      <w:sz w:val="18"/>
                      <w:szCs w:val="18"/>
                    </w:rPr>
                    <w:t>2类区标准</w:t>
                  </w:r>
                </w:p>
              </w:tc>
              <w:tc>
                <w:tcPr>
                  <w:tcW w:w="1701" w:type="dxa"/>
                  <w:vAlign w:val="center"/>
                </w:tcPr>
                <w:p w14:paraId="0217C094">
                  <w:pPr>
                    <w:keepNext w:val="0"/>
                    <w:keepLines w:val="0"/>
                    <w:suppressLineNumbers w:val="0"/>
                    <w:spacing w:before="0" w:beforeAutospacing="0" w:after="0" w:afterAutospacing="0" w:line="320" w:lineRule="exact"/>
                    <w:ind w:left="0" w:right="0"/>
                    <w:jc w:val="center"/>
                    <w:rPr>
                      <w:rFonts w:hint="default"/>
                      <w:color w:val="auto"/>
                      <w:spacing w:val="-6"/>
                      <w:sz w:val="18"/>
                      <w:szCs w:val="18"/>
                    </w:rPr>
                  </w:pPr>
                  <w:r>
                    <w:rPr>
                      <w:rFonts w:hint="default"/>
                      <w:color w:val="auto"/>
                      <w:spacing w:val="-6"/>
                      <w:sz w:val="18"/>
                      <w:szCs w:val="18"/>
                    </w:rPr>
                    <w:t>&lt;60dB(A)</w:t>
                  </w:r>
                </w:p>
              </w:tc>
              <w:tc>
                <w:tcPr>
                  <w:tcW w:w="1789" w:type="dxa"/>
                  <w:vAlign w:val="center"/>
                </w:tcPr>
                <w:p w14:paraId="05E58B0D">
                  <w:pPr>
                    <w:keepNext w:val="0"/>
                    <w:keepLines w:val="0"/>
                    <w:suppressLineNumbers w:val="0"/>
                    <w:spacing w:before="0" w:beforeAutospacing="0" w:after="0" w:afterAutospacing="0" w:line="320" w:lineRule="exact"/>
                    <w:ind w:left="0" w:right="0"/>
                    <w:jc w:val="center"/>
                    <w:rPr>
                      <w:rFonts w:hint="default"/>
                      <w:color w:val="auto"/>
                      <w:spacing w:val="-6"/>
                      <w:sz w:val="18"/>
                      <w:szCs w:val="18"/>
                    </w:rPr>
                  </w:pPr>
                  <w:r>
                    <w:rPr>
                      <w:rFonts w:hint="default"/>
                      <w:color w:val="auto"/>
                      <w:spacing w:val="-6"/>
                      <w:sz w:val="18"/>
                      <w:szCs w:val="18"/>
                    </w:rPr>
                    <w:t>&lt;50dB(A)</w:t>
                  </w:r>
                </w:p>
              </w:tc>
            </w:tr>
          </w:tbl>
          <w:p w14:paraId="123B586E">
            <w:pPr>
              <w:keepNext w:val="0"/>
              <w:keepLines w:val="0"/>
              <w:suppressLineNumbers w:val="0"/>
              <w:snapToGrid w:val="0"/>
              <w:spacing w:before="0" w:beforeAutospacing="0" w:after="0" w:afterAutospacing="0" w:line="400" w:lineRule="exact"/>
              <w:ind w:left="0" w:right="0"/>
              <w:rPr>
                <w:rFonts w:hint="default"/>
                <w:color w:val="auto"/>
              </w:rPr>
            </w:pPr>
            <w:r>
              <w:rPr>
                <w:rFonts w:hint="eastAsia"/>
                <w:color w:val="auto"/>
                <w:szCs w:val="21"/>
              </w:rPr>
              <w:t>5.</w:t>
            </w:r>
            <w:r>
              <w:rPr>
                <w:rFonts w:hint="default"/>
                <w:color w:val="auto"/>
                <w:szCs w:val="21"/>
              </w:rPr>
              <w:t>固体废物：一般固体废物</w:t>
            </w:r>
            <w:r>
              <w:rPr>
                <w:rFonts w:hint="eastAsia"/>
                <w:color w:val="auto"/>
                <w:szCs w:val="21"/>
              </w:rPr>
              <w:t>的</w:t>
            </w:r>
            <w:r>
              <w:rPr>
                <w:rFonts w:hint="default"/>
                <w:color w:val="auto"/>
                <w:szCs w:val="21"/>
              </w:rPr>
              <w:t>处置执行</w:t>
            </w:r>
            <w:r>
              <w:rPr>
                <w:rFonts w:hint="eastAsia"/>
                <w:color w:val="auto"/>
                <w:szCs w:val="21"/>
              </w:rPr>
              <w:t>《</w:t>
            </w:r>
            <w:r>
              <w:rPr>
                <w:rFonts w:hint="eastAsia"/>
                <w:color w:val="auto"/>
                <w:szCs w:val="21"/>
                <w:lang w:eastAsia="zh-CN"/>
              </w:rPr>
              <w:t>一般工业固体废物贮存和填埋污染控制标准</w:t>
            </w:r>
            <w:r>
              <w:rPr>
                <w:rFonts w:hint="eastAsia"/>
                <w:color w:val="auto"/>
                <w:szCs w:val="21"/>
              </w:rPr>
              <w:t>》（GB18599-2020）的要求。医疗废物、污泥按危险废物进行处理和处置，执行《危险废物贮存污染控制标准》（GB18597－2001）及2013年修改单的规定；污泥清淘前应进行监测，达到《医疗机构水污染排放标准》(GB18466-2005) 中表4的相关要求。</w:t>
            </w:r>
          </w:p>
        </w:tc>
      </w:tr>
      <w:tr w14:paraId="57968D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3" w:hRule="atLeast"/>
          <w:jc w:val="center"/>
        </w:trPr>
        <w:tc>
          <w:tcPr>
            <w:tcW w:w="799" w:type="dxa"/>
            <w:tcBorders>
              <w:top w:val="single" w:color="auto" w:sz="4" w:space="0"/>
              <w:left w:val="single" w:color="auto" w:sz="8" w:space="0"/>
              <w:bottom w:val="single" w:color="auto" w:sz="8" w:space="0"/>
              <w:right w:val="single" w:color="auto" w:sz="4" w:space="0"/>
            </w:tcBorders>
          </w:tcPr>
          <w:p w14:paraId="57100822">
            <w:pPr>
              <w:keepNext w:val="0"/>
              <w:keepLines w:val="0"/>
              <w:suppressLineNumbers w:val="0"/>
              <w:adjustRightInd w:val="0"/>
              <w:snapToGrid w:val="0"/>
              <w:spacing w:before="0" w:beforeAutospacing="0" w:after="0" w:afterAutospacing="0"/>
              <w:ind w:left="0" w:right="0"/>
              <w:jc w:val="center"/>
              <w:rPr>
                <w:rFonts w:hint="default"/>
              </w:rPr>
            </w:pPr>
          </w:p>
          <w:p w14:paraId="23164133">
            <w:pPr>
              <w:keepNext w:val="0"/>
              <w:keepLines w:val="0"/>
              <w:suppressLineNumbers w:val="0"/>
              <w:adjustRightInd w:val="0"/>
              <w:snapToGrid w:val="0"/>
              <w:spacing w:before="0" w:beforeAutospacing="0" w:after="0" w:afterAutospacing="0"/>
              <w:ind w:left="0" w:right="0"/>
              <w:jc w:val="center"/>
              <w:rPr>
                <w:rFonts w:hint="eastAsia"/>
              </w:rPr>
            </w:pPr>
          </w:p>
          <w:p w14:paraId="582476C4">
            <w:pPr>
              <w:keepNext w:val="0"/>
              <w:keepLines w:val="0"/>
              <w:suppressLineNumbers w:val="0"/>
              <w:adjustRightInd w:val="0"/>
              <w:snapToGrid w:val="0"/>
              <w:spacing w:before="0" w:beforeAutospacing="0" w:after="0" w:afterAutospacing="0"/>
              <w:ind w:left="0" w:right="0"/>
              <w:jc w:val="center"/>
              <w:rPr>
                <w:rFonts w:hint="eastAsia"/>
              </w:rPr>
            </w:pPr>
          </w:p>
          <w:p w14:paraId="6B9A4049">
            <w:pPr>
              <w:keepNext w:val="0"/>
              <w:keepLines w:val="0"/>
              <w:suppressLineNumbers w:val="0"/>
              <w:adjustRightInd w:val="0"/>
              <w:snapToGrid w:val="0"/>
              <w:spacing w:before="0" w:beforeAutospacing="0" w:after="0" w:afterAutospacing="0"/>
              <w:ind w:left="0" w:right="0"/>
              <w:jc w:val="center"/>
              <w:rPr>
                <w:rFonts w:hint="eastAsia"/>
              </w:rPr>
            </w:pPr>
          </w:p>
          <w:p w14:paraId="413610F4">
            <w:pPr>
              <w:keepNext w:val="0"/>
              <w:keepLines w:val="0"/>
              <w:suppressLineNumbers w:val="0"/>
              <w:adjustRightInd w:val="0"/>
              <w:snapToGrid w:val="0"/>
              <w:spacing w:before="0" w:beforeAutospacing="0" w:after="0" w:afterAutospacing="0"/>
              <w:ind w:left="0" w:right="0"/>
              <w:jc w:val="center"/>
              <w:rPr>
                <w:rFonts w:hint="eastAsia"/>
              </w:rPr>
            </w:pPr>
          </w:p>
          <w:p w14:paraId="524FB00C">
            <w:pPr>
              <w:keepNext w:val="0"/>
              <w:keepLines w:val="0"/>
              <w:suppressLineNumbers w:val="0"/>
              <w:adjustRightInd w:val="0"/>
              <w:snapToGrid w:val="0"/>
              <w:spacing w:before="0" w:beforeAutospacing="0" w:after="0" w:afterAutospacing="0"/>
              <w:ind w:left="0" w:right="0"/>
              <w:jc w:val="center"/>
              <w:rPr>
                <w:rFonts w:hint="default"/>
              </w:rPr>
            </w:pPr>
            <w:r>
              <w:rPr>
                <w:rFonts w:hint="eastAsia"/>
              </w:rPr>
              <w:t>总量</w:t>
            </w:r>
          </w:p>
          <w:p w14:paraId="578F330C">
            <w:pPr>
              <w:keepNext w:val="0"/>
              <w:keepLines w:val="0"/>
              <w:suppressLineNumbers w:val="0"/>
              <w:adjustRightInd w:val="0"/>
              <w:snapToGrid w:val="0"/>
              <w:spacing w:before="0" w:beforeAutospacing="0" w:after="0" w:afterAutospacing="0"/>
              <w:ind w:left="0" w:right="0"/>
              <w:jc w:val="center"/>
              <w:rPr>
                <w:rFonts w:hint="default"/>
              </w:rPr>
            </w:pPr>
            <w:r>
              <w:rPr>
                <w:rFonts w:hint="eastAsia"/>
              </w:rPr>
              <w:t>控制</w:t>
            </w:r>
          </w:p>
          <w:p w14:paraId="17A45DDE">
            <w:pPr>
              <w:keepNext w:val="0"/>
              <w:keepLines w:val="0"/>
              <w:suppressLineNumbers w:val="0"/>
              <w:adjustRightInd w:val="0"/>
              <w:snapToGrid w:val="0"/>
              <w:spacing w:before="0" w:beforeAutospacing="0" w:after="0" w:afterAutospacing="0"/>
              <w:ind w:left="0" w:right="0"/>
              <w:jc w:val="center"/>
              <w:rPr>
                <w:rFonts w:hint="eastAsia"/>
              </w:rPr>
            </w:pPr>
            <w:r>
              <w:rPr>
                <w:rFonts w:hint="eastAsia"/>
              </w:rPr>
              <w:t>指标</w:t>
            </w:r>
          </w:p>
          <w:p w14:paraId="034B45CC">
            <w:pPr>
              <w:pStyle w:val="2"/>
              <w:keepNext w:val="0"/>
              <w:keepLines w:val="0"/>
              <w:suppressLineNumbers w:val="0"/>
              <w:spacing w:before="0" w:beforeAutospacing="0" w:afterAutospacing="0"/>
              <w:ind w:right="0"/>
              <w:rPr>
                <w:rFonts w:hint="eastAsia"/>
              </w:rPr>
            </w:pPr>
          </w:p>
          <w:p w14:paraId="1E695732">
            <w:pPr>
              <w:pStyle w:val="3"/>
              <w:keepNext w:val="0"/>
              <w:keepLines w:val="0"/>
              <w:suppressLineNumbers w:val="0"/>
              <w:spacing w:before="0" w:beforeAutospacing="0" w:after="0" w:afterAutospacing="0"/>
              <w:ind w:left="0" w:right="0"/>
              <w:rPr>
                <w:rFonts w:hint="eastAsia"/>
              </w:rPr>
            </w:pPr>
          </w:p>
          <w:p w14:paraId="7E5F7535">
            <w:pPr>
              <w:pStyle w:val="4"/>
              <w:keepNext w:val="0"/>
              <w:keepLines w:val="0"/>
              <w:suppressLineNumbers w:val="0"/>
              <w:spacing w:before="0" w:beforeAutospacing="0" w:after="0" w:afterAutospacing="0"/>
              <w:ind w:right="0"/>
              <w:rPr>
                <w:rFonts w:hint="eastAsia" w:cs="宋体"/>
                <w:color w:val="auto"/>
                <w:kern w:val="0"/>
                <w:szCs w:val="21"/>
              </w:rPr>
            </w:pPr>
          </w:p>
          <w:p w14:paraId="19FEEC96">
            <w:pPr>
              <w:pStyle w:val="4"/>
              <w:keepNext w:val="0"/>
              <w:keepLines w:val="0"/>
              <w:suppressLineNumbers w:val="0"/>
              <w:spacing w:before="0" w:beforeAutospacing="0" w:after="0" w:afterAutospacing="0"/>
              <w:ind w:right="0"/>
              <w:rPr>
                <w:rFonts w:hint="eastAsia" w:cs="宋体"/>
                <w:color w:val="auto"/>
                <w:kern w:val="0"/>
                <w:szCs w:val="21"/>
              </w:rPr>
            </w:pPr>
          </w:p>
          <w:p w14:paraId="5042963B">
            <w:pPr>
              <w:pStyle w:val="4"/>
              <w:keepNext w:val="0"/>
              <w:keepLines w:val="0"/>
              <w:suppressLineNumbers w:val="0"/>
              <w:spacing w:before="0" w:beforeAutospacing="0" w:after="0" w:afterAutospacing="0"/>
              <w:ind w:right="0"/>
              <w:rPr>
                <w:rFonts w:hint="eastAsia" w:cs="宋体"/>
                <w:color w:val="auto"/>
                <w:kern w:val="0"/>
                <w:szCs w:val="21"/>
              </w:rPr>
            </w:pPr>
          </w:p>
          <w:p w14:paraId="6DF37F45">
            <w:pPr>
              <w:pStyle w:val="4"/>
              <w:keepNext w:val="0"/>
              <w:keepLines w:val="0"/>
              <w:suppressLineNumbers w:val="0"/>
              <w:spacing w:before="0" w:beforeAutospacing="0" w:after="0" w:afterAutospacing="0"/>
              <w:ind w:right="0"/>
              <w:rPr>
                <w:rFonts w:hint="eastAsia" w:cs="宋体"/>
                <w:color w:val="auto"/>
                <w:kern w:val="0"/>
                <w:szCs w:val="21"/>
              </w:rPr>
            </w:pPr>
          </w:p>
          <w:p w14:paraId="3FD299EA">
            <w:pPr>
              <w:pStyle w:val="4"/>
              <w:keepNext w:val="0"/>
              <w:keepLines w:val="0"/>
              <w:suppressLineNumbers w:val="0"/>
              <w:spacing w:before="0" w:beforeAutospacing="0" w:after="0" w:afterAutospacing="0"/>
              <w:ind w:right="0"/>
              <w:rPr>
                <w:rFonts w:hint="eastAsia" w:cs="宋体"/>
                <w:color w:val="auto"/>
                <w:kern w:val="0"/>
                <w:szCs w:val="21"/>
              </w:rPr>
            </w:pPr>
          </w:p>
          <w:p w14:paraId="33C3E747">
            <w:pPr>
              <w:pStyle w:val="4"/>
              <w:keepNext w:val="0"/>
              <w:keepLines w:val="0"/>
              <w:suppressLineNumbers w:val="0"/>
              <w:spacing w:before="0" w:beforeAutospacing="0" w:after="0" w:afterAutospacing="0"/>
              <w:ind w:right="0"/>
              <w:rPr>
                <w:rFonts w:hint="eastAsia" w:cs="宋体"/>
                <w:color w:val="auto"/>
                <w:kern w:val="0"/>
                <w:szCs w:val="21"/>
              </w:rPr>
            </w:pPr>
          </w:p>
          <w:p w14:paraId="1BA7E5D8">
            <w:pPr>
              <w:pStyle w:val="4"/>
              <w:keepNext w:val="0"/>
              <w:keepLines w:val="0"/>
              <w:suppressLineNumbers w:val="0"/>
              <w:spacing w:before="0" w:beforeAutospacing="0" w:after="0" w:afterAutospacing="0"/>
              <w:ind w:right="0"/>
              <w:rPr>
                <w:rFonts w:hint="eastAsia" w:cs="宋体"/>
                <w:color w:val="auto"/>
                <w:kern w:val="0"/>
                <w:szCs w:val="21"/>
              </w:rPr>
            </w:pPr>
          </w:p>
          <w:p w14:paraId="245D16C1">
            <w:pPr>
              <w:pStyle w:val="4"/>
              <w:keepNext w:val="0"/>
              <w:keepLines w:val="0"/>
              <w:suppressLineNumbers w:val="0"/>
              <w:spacing w:before="0" w:beforeAutospacing="0" w:after="0" w:afterAutospacing="0"/>
              <w:ind w:right="0"/>
              <w:rPr>
                <w:rFonts w:hint="eastAsia" w:cs="宋体"/>
                <w:color w:val="auto"/>
                <w:kern w:val="0"/>
                <w:szCs w:val="21"/>
              </w:rPr>
            </w:pPr>
          </w:p>
          <w:p w14:paraId="203343ED">
            <w:pPr>
              <w:pStyle w:val="4"/>
              <w:keepNext w:val="0"/>
              <w:keepLines w:val="0"/>
              <w:suppressLineNumbers w:val="0"/>
              <w:spacing w:before="0" w:beforeAutospacing="0" w:after="0" w:afterAutospacing="0"/>
              <w:ind w:right="0"/>
              <w:rPr>
                <w:rFonts w:hint="eastAsia" w:cs="宋体"/>
                <w:color w:val="auto"/>
                <w:kern w:val="0"/>
                <w:szCs w:val="21"/>
              </w:rPr>
            </w:pPr>
          </w:p>
          <w:p w14:paraId="15DBF189">
            <w:pPr>
              <w:pStyle w:val="4"/>
              <w:keepNext w:val="0"/>
              <w:keepLines w:val="0"/>
              <w:suppressLineNumbers w:val="0"/>
              <w:spacing w:before="0" w:beforeAutospacing="0" w:after="0" w:afterAutospacing="0"/>
              <w:ind w:right="0"/>
              <w:rPr>
                <w:rFonts w:hint="eastAsia" w:cs="宋体"/>
                <w:color w:val="auto"/>
                <w:kern w:val="0"/>
                <w:szCs w:val="21"/>
              </w:rPr>
            </w:pPr>
          </w:p>
          <w:p w14:paraId="274ECD00">
            <w:pPr>
              <w:pStyle w:val="4"/>
              <w:keepNext w:val="0"/>
              <w:keepLines w:val="0"/>
              <w:suppressLineNumbers w:val="0"/>
              <w:spacing w:before="0" w:beforeAutospacing="0" w:after="0" w:afterAutospacing="0"/>
              <w:ind w:right="0"/>
              <w:rPr>
                <w:rFonts w:hint="eastAsia" w:cs="宋体"/>
                <w:color w:val="auto"/>
                <w:kern w:val="0"/>
                <w:szCs w:val="21"/>
              </w:rPr>
            </w:pPr>
          </w:p>
          <w:p w14:paraId="7C90FA9A">
            <w:pPr>
              <w:pStyle w:val="4"/>
              <w:keepNext w:val="0"/>
              <w:keepLines w:val="0"/>
              <w:suppressLineNumbers w:val="0"/>
              <w:spacing w:before="0" w:beforeAutospacing="0" w:after="0" w:afterAutospacing="0"/>
              <w:ind w:right="0"/>
              <w:rPr>
                <w:rFonts w:hint="eastAsia" w:cs="宋体"/>
                <w:color w:val="auto"/>
                <w:kern w:val="0"/>
                <w:szCs w:val="21"/>
              </w:rPr>
            </w:pPr>
          </w:p>
          <w:p w14:paraId="69E5944C">
            <w:pPr>
              <w:pStyle w:val="4"/>
              <w:keepNext w:val="0"/>
              <w:keepLines w:val="0"/>
              <w:suppressLineNumbers w:val="0"/>
              <w:spacing w:before="0" w:beforeAutospacing="0" w:after="0" w:afterAutospacing="0"/>
              <w:ind w:right="0"/>
              <w:rPr>
                <w:rFonts w:hint="eastAsia" w:cs="宋体"/>
                <w:color w:val="auto"/>
                <w:kern w:val="0"/>
                <w:szCs w:val="21"/>
              </w:rPr>
            </w:pPr>
          </w:p>
          <w:p w14:paraId="5EF8405C">
            <w:pPr>
              <w:pStyle w:val="4"/>
              <w:keepNext w:val="0"/>
              <w:keepLines w:val="0"/>
              <w:suppressLineNumbers w:val="0"/>
              <w:spacing w:before="0" w:beforeAutospacing="0" w:after="0" w:afterAutospacing="0"/>
              <w:ind w:right="0"/>
              <w:rPr>
                <w:rFonts w:hint="eastAsia" w:cs="宋体"/>
                <w:color w:val="auto"/>
                <w:kern w:val="0"/>
                <w:szCs w:val="21"/>
              </w:rPr>
            </w:pPr>
          </w:p>
          <w:p w14:paraId="2FFDF1A5">
            <w:pPr>
              <w:pStyle w:val="4"/>
              <w:keepNext w:val="0"/>
              <w:keepLines w:val="0"/>
              <w:suppressLineNumbers w:val="0"/>
              <w:spacing w:before="0" w:beforeAutospacing="0" w:after="0" w:afterAutospacing="0"/>
              <w:ind w:right="0"/>
              <w:rPr>
                <w:rFonts w:hint="eastAsia" w:cs="宋体"/>
                <w:color w:val="auto"/>
                <w:kern w:val="0"/>
                <w:szCs w:val="21"/>
              </w:rPr>
            </w:pPr>
          </w:p>
          <w:p w14:paraId="0B429B00">
            <w:pPr>
              <w:pStyle w:val="4"/>
              <w:keepNext w:val="0"/>
              <w:keepLines w:val="0"/>
              <w:suppressLineNumbers w:val="0"/>
              <w:spacing w:before="0" w:beforeAutospacing="0" w:after="0" w:afterAutospacing="0"/>
              <w:ind w:right="0"/>
              <w:rPr>
                <w:rFonts w:hint="eastAsia" w:cs="宋体"/>
                <w:color w:val="auto"/>
                <w:kern w:val="0"/>
                <w:szCs w:val="21"/>
              </w:rPr>
            </w:pPr>
          </w:p>
          <w:p w14:paraId="4AF33018">
            <w:pPr>
              <w:pStyle w:val="4"/>
              <w:keepNext w:val="0"/>
              <w:keepLines w:val="0"/>
              <w:suppressLineNumbers w:val="0"/>
              <w:spacing w:before="0" w:beforeAutospacing="0" w:after="0" w:afterAutospacing="0"/>
              <w:ind w:right="0"/>
              <w:rPr>
                <w:rFonts w:hint="default" w:cs="宋体"/>
                <w:color w:val="auto"/>
                <w:kern w:val="0"/>
                <w:szCs w:val="21"/>
              </w:rPr>
            </w:pPr>
          </w:p>
        </w:tc>
        <w:tc>
          <w:tcPr>
            <w:tcW w:w="8115" w:type="dxa"/>
            <w:tcBorders>
              <w:top w:val="single" w:color="auto" w:sz="4" w:space="0"/>
              <w:left w:val="single" w:color="auto" w:sz="4" w:space="0"/>
              <w:bottom w:val="single" w:color="auto" w:sz="8" w:space="0"/>
              <w:right w:val="single" w:color="auto" w:sz="8" w:space="0"/>
            </w:tcBorders>
            <w:vAlign w:val="center"/>
          </w:tcPr>
          <w:p w14:paraId="200EE1BE">
            <w:pPr>
              <w:keepNext w:val="0"/>
              <w:keepLines w:val="0"/>
              <w:suppressLineNumbers w:val="0"/>
              <w:snapToGrid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本项目不涉及废气总量控制指标。项目产生的废水经自有污水处理站处理达到《医疗机构水污染物排放标准》</w:t>
            </w:r>
            <w:r>
              <w:rPr>
                <w:rFonts w:hint="default"/>
                <w:color w:val="auto"/>
                <w:szCs w:val="21"/>
              </w:rPr>
              <w:t>(GB18466-2005)</w:t>
            </w:r>
            <w:r>
              <w:rPr>
                <w:rFonts w:hint="eastAsia"/>
                <w:color w:val="auto"/>
                <w:szCs w:val="21"/>
              </w:rPr>
              <w:t>表</w:t>
            </w:r>
            <w:r>
              <w:rPr>
                <w:rFonts w:hint="default"/>
                <w:color w:val="auto"/>
                <w:szCs w:val="21"/>
              </w:rPr>
              <w:t>2</w:t>
            </w:r>
            <w:r>
              <w:rPr>
                <w:rFonts w:hint="eastAsia"/>
                <w:color w:val="auto"/>
                <w:szCs w:val="21"/>
              </w:rPr>
              <w:t>中的预处理标准后，排入市政污水管网，最终进入</w:t>
            </w:r>
            <w:r>
              <w:rPr>
                <w:rFonts w:hint="eastAsia"/>
                <w:color w:val="auto"/>
                <w:szCs w:val="21"/>
                <w:lang w:val="en-US" w:eastAsia="zh-CN"/>
              </w:rPr>
              <w:t>罗江镇场镇生活</w:t>
            </w:r>
            <w:r>
              <w:rPr>
                <w:rFonts w:hint="eastAsia"/>
                <w:color w:val="auto"/>
                <w:szCs w:val="21"/>
              </w:rPr>
              <w:t>污水处理厂集中处理后达标排入州河，最终外排环境的量为</w:t>
            </w:r>
            <w:r>
              <w:rPr>
                <w:rFonts w:hint="default"/>
                <w:color w:val="auto"/>
                <w:szCs w:val="21"/>
              </w:rPr>
              <w:t>COD</w:t>
            </w:r>
            <w:r>
              <w:rPr>
                <w:rFonts w:hint="default"/>
                <w:color w:val="auto"/>
                <w:szCs w:val="21"/>
                <w:vertAlign w:val="subscript"/>
              </w:rPr>
              <w:t>Cr</w:t>
            </w:r>
            <w:r>
              <w:rPr>
                <w:rFonts w:hint="default"/>
                <w:color w:val="auto"/>
                <w:szCs w:val="21"/>
              </w:rPr>
              <w:t>：</w:t>
            </w:r>
            <w:r>
              <w:rPr>
                <w:rFonts w:hint="eastAsia"/>
                <w:color w:val="auto"/>
                <w:szCs w:val="21"/>
              </w:rPr>
              <w:t>0.</w:t>
            </w:r>
            <w:r>
              <w:rPr>
                <w:rFonts w:hint="eastAsia"/>
                <w:color w:val="auto"/>
                <w:szCs w:val="21"/>
                <w:lang w:val="en-US" w:eastAsia="zh-CN"/>
              </w:rPr>
              <w:t>565</w:t>
            </w:r>
            <w:r>
              <w:rPr>
                <w:rFonts w:hint="default"/>
                <w:color w:val="auto"/>
                <w:szCs w:val="21"/>
              </w:rPr>
              <w:t>t/a、氨氮：0.</w:t>
            </w:r>
            <w:r>
              <w:rPr>
                <w:rFonts w:hint="eastAsia"/>
                <w:color w:val="auto"/>
                <w:szCs w:val="21"/>
              </w:rPr>
              <w:t>0</w:t>
            </w:r>
            <w:r>
              <w:rPr>
                <w:rFonts w:hint="eastAsia"/>
                <w:color w:val="auto"/>
                <w:szCs w:val="21"/>
                <w:lang w:val="en-US" w:eastAsia="zh-CN"/>
              </w:rPr>
              <w:t>565</w:t>
            </w:r>
            <w:r>
              <w:rPr>
                <w:rFonts w:hint="default"/>
                <w:color w:val="auto"/>
                <w:szCs w:val="21"/>
              </w:rPr>
              <w:t>t/a。</w:t>
            </w:r>
            <w:r>
              <w:rPr>
                <w:rFonts w:hint="eastAsia"/>
                <w:color w:val="auto"/>
                <w:szCs w:val="21"/>
              </w:rPr>
              <w:t>项目废水污染物的总量控制指标纳入</w:t>
            </w:r>
            <w:r>
              <w:rPr>
                <w:rFonts w:hint="eastAsia"/>
                <w:color w:val="auto"/>
                <w:szCs w:val="21"/>
                <w:lang w:val="en-US" w:eastAsia="zh-CN"/>
              </w:rPr>
              <w:t>罗江镇场镇生活</w:t>
            </w:r>
            <w:r>
              <w:rPr>
                <w:rFonts w:hint="eastAsia"/>
                <w:color w:val="auto"/>
                <w:szCs w:val="21"/>
              </w:rPr>
              <w:t>污水处理厂已有的总量指标管理。</w:t>
            </w:r>
          </w:p>
          <w:p w14:paraId="456F0373">
            <w:pPr>
              <w:keepNext w:val="0"/>
              <w:keepLines w:val="0"/>
              <w:suppressLineNumbers w:val="0"/>
              <w:snapToGrid w:val="0"/>
              <w:spacing w:before="0" w:beforeAutospacing="0" w:after="0" w:afterAutospacing="0" w:line="400" w:lineRule="exact"/>
              <w:ind w:left="0" w:right="0" w:firstLine="420" w:firstLineChars="200"/>
              <w:rPr>
                <w:rFonts w:hint="eastAsia"/>
                <w:color w:val="auto"/>
                <w:szCs w:val="21"/>
              </w:rPr>
            </w:pPr>
            <w:r>
              <w:rPr>
                <w:rFonts w:hint="eastAsia"/>
                <w:color w:val="auto"/>
                <w:szCs w:val="21"/>
              </w:rPr>
              <w:t>因此，建议达州市通川生态环境局不对本项目下达总量控制指标。</w:t>
            </w:r>
          </w:p>
          <w:p w14:paraId="79D7E8B6">
            <w:pPr>
              <w:pStyle w:val="2"/>
              <w:keepNext w:val="0"/>
              <w:keepLines w:val="0"/>
              <w:suppressLineNumbers w:val="0"/>
              <w:spacing w:before="0" w:beforeAutospacing="0" w:afterAutospacing="0"/>
              <w:ind w:right="0"/>
              <w:rPr>
                <w:rFonts w:hint="eastAsia"/>
                <w:color w:val="auto"/>
                <w:szCs w:val="21"/>
              </w:rPr>
            </w:pPr>
          </w:p>
          <w:p w14:paraId="5E7145AC">
            <w:pPr>
              <w:pStyle w:val="3"/>
              <w:keepNext w:val="0"/>
              <w:keepLines w:val="0"/>
              <w:suppressLineNumbers w:val="0"/>
              <w:spacing w:before="0" w:beforeAutospacing="0" w:after="0" w:afterAutospacing="0"/>
              <w:ind w:left="0" w:right="0"/>
              <w:rPr>
                <w:rFonts w:hint="eastAsia"/>
                <w:color w:val="auto"/>
                <w:szCs w:val="21"/>
              </w:rPr>
            </w:pPr>
          </w:p>
          <w:p w14:paraId="5B353A9E">
            <w:pPr>
              <w:pStyle w:val="4"/>
              <w:keepNext w:val="0"/>
              <w:keepLines w:val="0"/>
              <w:suppressLineNumbers w:val="0"/>
              <w:spacing w:before="0" w:beforeAutospacing="0" w:after="0" w:afterAutospacing="0"/>
              <w:ind w:right="0"/>
              <w:rPr>
                <w:rFonts w:hint="eastAsia"/>
                <w:color w:val="auto"/>
                <w:szCs w:val="21"/>
              </w:rPr>
            </w:pPr>
          </w:p>
          <w:p w14:paraId="619C0CBA">
            <w:pPr>
              <w:pStyle w:val="4"/>
              <w:keepNext w:val="0"/>
              <w:keepLines w:val="0"/>
              <w:suppressLineNumbers w:val="0"/>
              <w:spacing w:before="0" w:beforeAutospacing="0" w:after="0" w:afterAutospacing="0"/>
              <w:ind w:right="0"/>
              <w:rPr>
                <w:rFonts w:hint="eastAsia"/>
                <w:color w:val="auto"/>
                <w:szCs w:val="21"/>
              </w:rPr>
            </w:pPr>
          </w:p>
          <w:p w14:paraId="0807F1A8">
            <w:pPr>
              <w:pStyle w:val="4"/>
              <w:keepNext w:val="0"/>
              <w:keepLines w:val="0"/>
              <w:suppressLineNumbers w:val="0"/>
              <w:spacing w:before="0" w:beforeAutospacing="0" w:after="0" w:afterAutospacing="0"/>
              <w:ind w:right="0"/>
              <w:rPr>
                <w:rFonts w:hint="eastAsia"/>
                <w:color w:val="auto"/>
                <w:szCs w:val="21"/>
              </w:rPr>
            </w:pPr>
          </w:p>
          <w:p w14:paraId="5D63AFCD">
            <w:pPr>
              <w:pStyle w:val="4"/>
              <w:keepNext w:val="0"/>
              <w:keepLines w:val="0"/>
              <w:suppressLineNumbers w:val="0"/>
              <w:spacing w:before="0" w:beforeAutospacing="0" w:after="0" w:afterAutospacing="0"/>
              <w:ind w:right="0"/>
              <w:rPr>
                <w:rFonts w:hint="eastAsia"/>
                <w:color w:val="auto"/>
                <w:szCs w:val="21"/>
              </w:rPr>
            </w:pPr>
          </w:p>
          <w:p w14:paraId="77BCA132">
            <w:pPr>
              <w:pStyle w:val="4"/>
              <w:keepNext w:val="0"/>
              <w:keepLines w:val="0"/>
              <w:suppressLineNumbers w:val="0"/>
              <w:spacing w:before="0" w:beforeAutospacing="0" w:after="0" w:afterAutospacing="0"/>
              <w:ind w:right="0"/>
              <w:rPr>
                <w:rFonts w:hint="eastAsia"/>
                <w:color w:val="auto"/>
                <w:szCs w:val="21"/>
              </w:rPr>
            </w:pPr>
          </w:p>
          <w:p w14:paraId="2B6CEB56">
            <w:pPr>
              <w:pStyle w:val="4"/>
              <w:keepNext w:val="0"/>
              <w:keepLines w:val="0"/>
              <w:suppressLineNumbers w:val="0"/>
              <w:spacing w:before="0" w:beforeAutospacing="0" w:after="0" w:afterAutospacing="0"/>
              <w:ind w:right="0"/>
              <w:rPr>
                <w:rFonts w:hint="eastAsia"/>
                <w:color w:val="auto"/>
                <w:szCs w:val="21"/>
              </w:rPr>
            </w:pPr>
          </w:p>
          <w:p w14:paraId="081D1777">
            <w:pPr>
              <w:pStyle w:val="4"/>
              <w:keepNext w:val="0"/>
              <w:keepLines w:val="0"/>
              <w:suppressLineNumbers w:val="0"/>
              <w:spacing w:before="0" w:beforeAutospacing="0" w:after="0" w:afterAutospacing="0"/>
              <w:ind w:right="0"/>
              <w:rPr>
                <w:rFonts w:hint="eastAsia"/>
                <w:color w:val="auto"/>
                <w:szCs w:val="21"/>
              </w:rPr>
            </w:pPr>
          </w:p>
          <w:p w14:paraId="322B41F9">
            <w:pPr>
              <w:pStyle w:val="4"/>
              <w:keepNext w:val="0"/>
              <w:keepLines w:val="0"/>
              <w:suppressLineNumbers w:val="0"/>
              <w:spacing w:before="0" w:beforeAutospacing="0" w:after="0" w:afterAutospacing="0"/>
              <w:ind w:right="0"/>
              <w:rPr>
                <w:rFonts w:hint="eastAsia"/>
                <w:color w:val="auto"/>
                <w:szCs w:val="21"/>
              </w:rPr>
            </w:pPr>
          </w:p>
          <w:p w14:paraId="76228137">
            <w:pPr>
              <w:pStyle w:val="4"/>
              <w:keepNext w:val="0"/>
              <w:keepLines w:val="0"/>
              <w:suppressLineNumbers w:val="0"/>
              <w:spacing w:before="0" w:beforeAutospacing="0" w:after="0" w:afterAutospacing="0"/>
              <w:ind w:right="0"/>
              <w:rPr>
                <w:rFonts w:hint="eastAsia"/>
                <w:color w:val="auto"/>
                <w:szCs w:val="21"/>
              </w:rPr>
            </w:pPr>
          </w:p>
          <w:p w14:paraId="2F1BCFC9">
            <w:pPr>
              <w:pStyle w:val="4"/>
              <w:keepNext w:val="0"/>
              <w:keepLines w:val="0"/>
              <w:suppressLineNumbers w:val="0"/>
              <w:spacing w:before="0" w:beforeAutospacing="0" w:after="0" w:afterAutospacing="0"/>
              <w:ind w:right="0"/>
              <w:rPr>
                <w:rFonts w:hint="eastAsia"/>
                <w:color w:val="auto"/>
                <w:szCs w:val="21"/>
              </w:rPr>
            </w:pPr>
          </w:p>
          <w:p w14:paraId="7273B825">
            <w:pPr>
              <w:pStyle w:val="4"/>
              <w:keepNext w:val="0"/>
              <w:keepLines w:val="0"/>
              <w:suppressLineNumbers w:val="0"/>
              <w:spacing w:before="0" w:beforeAutospacing="0" w:after="0" w:afterAutospacing="0"/>
              <w:ind w:right="0"/>
              <w:rPr>
                <w:rFonts w:hint="eastAsia"/>
                <w:color w:val="auto"/>
                <w:szCs w:val="21"/>
              </w:rPr>
            </w:pPr>
          </w:p>
          <w:p w14:paraId="09403D95">
            <w:pPr>
              <w:pStyle w:val="4"/>
              <w:keepNext w:val="0"/>
              <w:keepLines w:val="0"/>
              <w:suppressLineNumbers w:val="0"/>
              <w:spacing w:before="0" w:beforeAutospacing="0" w:after="0" w:afterAutospacing="0"/>
              <w:ind w:right="0"/>
              <w:rPr>
                <w:rFonts w:hint="eastAsia"/>
                <w:color w:val="auto"/>
                <w:szCs w:val="21"/>
              </w:rPr>
            </w:pPr>
          </w:p>
          <w:p w14:paraId="0804AD2E">
            <w:pPr>
              <w:pStyle w:val="4"/>
              <w:keepNext w:val="0"/>
              <w:keepLines w:val="0"/>
              <w:suppressLineNumbers w:val="0"/>
              <w:spacing w:before="0" w:beforeAutospacing="0" w:after="0" w:afterAutospacing="0"/>
              <w:ind w:right="0"/>
              <w:rPr>
                <w:rFonts w:hint="eastAsia"/>
                <w:color w:val="auto"/>
                <w:szCs w:val="21"/>
              </w:rPr>
            </w:pPr>
          </w:p>
          <w:p w14:paraId="18B72698">
            <w:pPr>
              <w:pStyle w:val="4"/>
              <w:keepNext w:val="0"/>
              <w:keepLines w:val="0"/>
              <w:suppressLineNumbers w:val="0"/>
              <w:spacing w:before="0" w:beforeAutospacing="0" w:after="0" w:afterAutospacing="0"/>
              <w:ind w:right="0"/>
              <w:rPr>
                <w:rFonts w:hint="eastAsia"/>
                <w:color w:val="auto"/>
                <w:szCs w:val="21"/>
              </w:rPr>
            </w:pPr>
          </w:p>
          <w:p w14:paraId="06F4427E">
            <w:pPr>
              <w:pStyle w:val="4"/>
              <w:keepNext w:val="0"/>
              <w:keepLines w:val="0"/>
              <w:suppressLineNumbers w:val="0"/>
              <w:spacing w:before="0" w:beforeAutospacing="0" w:after="0" w:afterAutospacing="0"/>
              <w:ind w:right="0"/>
              <w:rPr>
                <w:rFonts w:hint="eastAsia"/>
                <w:color w:val="auto"/>
                <w:szCs w:val="21"/>
              </w:rPr>
            </w:pPr>
          </w:p>
          <w:p w14:paraId="5BC9C7AC">
            <w:pPr>
              <w:pStyle w:val="4"/>
              <w:keepNext w:val="0"/>
              <w:keepLines w:val="0"/>
              <w:suppressLineNumbers w:val="0"/>
              <w:spacing w:before="0" w:beforeAutospacing="0" w:after="0" w:afterAutospacing="0"/>
              <w:ind w:right="0"/>
              <w:rPr>
                <w:rFonts w:hint="eastAsia"/>
                <w:color w:val="auto"/>
                <w:szCs w:val="21"/>
              </w:rPr>
            </w:pPr>
          </w:p>
          <w:p w14:paraId="49CBFB0F">
            <w:pPr>
              <w:pStyle w:val="4"/>
              <w:keepNext w:val="0"/>
              <w:keepLines w:val="0"/>
              <w:suppressLineNumbers w:val="0"/>
              <w:spacing w:before="0" w:beforeAutospacing="0" w:after="0" w:afterAutospacing="0"/>
              <w:ind w:right="0"/>
              <w:rPr>
                <w:rFonts w:hint="eastAsia"/>
                <w:color w:val="auto"/>
                <w:szCs w:val="21"/>
              </w:rPr>
            </w:pPr>
          </w:p>
          <w:p w14:paraId="64B5A2E6">
            <w:pPr>
              <w:pStyle w:val="4"/>
              <w:keepNext w:val="0"/>
              <w:keepLines w:val="0"/>
              <w:suppressLineNumbers w:val="0"/>
              <w:spacing w:before="0" w:beforeAutospacing="0" w:after="0" w:afterAutospacing="0"/>
              <w:ind w:right="0"/>
              <w:rPr>
                <w:rFonts w:hint="default"/>
                <w:color w:val="auto"/>
                <w:szCs w:val="21"/>
              </w:rPr>
            </w:pPr>
          </w:p>
          <w:p w14:paraId="2D1203D0">
            <w:pPr>
              <w:pStyle w:val="4"/>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600" w:lineRule="exact"/>
              <w:ind w:left="556" w:right="0"/>
              <w:textAlignment w:val="bottom"/>
              <w:rPr>
                <w:rFonts w:hint="default"/>
                <w:color w:val="auto"/>
              </w:rPr>
            </w:pPr>
          </w:p>
        </w:tc>
      </w:tr>
    </w:tbl>
    <w:p w14:paraId="0AB349B2">
      <w:pPr>
        <w:pStyle w:val="12"/>
        <w:jc w:val="center"/>
        <w:outlineLvl w:val="0"/>
        <w:rPr>
          <w:rFonts w:ascii="Times New Roman" w:hAnsi="Times New Roman" w:eastAsia="黑体" w:cs="Times New Roman"/>
          <w:snapToGrid w:val="0"/>
          <w:color w:val="auto"/>
          <w:kern w:val="0"/>
          <w:sz w:val="30"/>
          <w:szCs w:val="30"/>
        </w:rPr>
      </w:pPr>
      <w:r>
        <w:rPr>
          <w:rFonts w:hint="eastAsia" w:ascii="Times New Roman" w:hAnsi="Times New Roman" w:eastAsia="黑体"/>
          <w:snapToGrid w:val="0"/>
          <w:color w:val="auto"/>
          <w:kern w:val="0"/>
          <w:sz w:val="36"/>
          <w:szCs w:val="36"/>
        </w:rPr>
        <w:br w:type="page"/>
      </w:r>
      <w:r>
        <w:rPr>
          <w:rFonts w:hint="eastAsia" w:ascii="Times New Roman" w:hAnsi="Times New Roman" w:eastAsia="黑体"/>
          <w:snapToGrid w:val="0"/>
          <w:color w:val="auto"/>
          <w:sz w:val="30"/>
          <w:szCs w:val="30"/>
        </w:rPr>
        <w:t>四、主要环境影响和保护措施</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5"/>
        <w:gridCol w:w="8154"/>
      </w:tblGrid>
      <w:tr w14:paraId="255D60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1" w:hRule="atLeast"/>
          <w:jc w:val="center"/>
        </w:trPr>
        <w:tc>
          <w:tcPr>
            <w:tcW w:w="745" w:type="dxa"/>
            <w:tcBorders>
              <w:top w:val="single" w:color="auto" w:sz="8" w:space="0"/>
              <w:left w:val="single" w:color="auto" w:sz="8" w:space="0"/>
              <w:bottom w:val="single" w:color="auto" w:sz="4" w:space="0"/>
              <w:right w:val="single" w:color="auto" w:sz="4" w:space="0"/>
            </w:tcBorders>
            <w:tcMar>
              <w:top w:w="0" w:type="dxa"/>
              <w:left w:w="28" w:type="dxa"/>
              <w:bottom w:w="0" w:type="dxa"/>
              <w:right w:w="28" w:type="dxa"/>
            </w:tcMar>
            <w:vAlign w:val="center"/>
          </w:tcPr>
          <w:p w14:paraId="77A6AF2E">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施工</w:t>
            </w:r>
          </w:p>
          <w:p w14:paraId="763FC153">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期环</w:t>
            </w:r>
          </w:p>
          <w:p w14:paraId="2D89B376">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境保</w:t>
            </w:r>
          </w:p>
          <w:p w14:paraId="687CD7DF">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color w:val="auto"/>
                <w:sz w:val="21"/>
                <w:szCs w:val="21"/>
              </w:rPr>
            </w:pPr>
            <w:r>
              <w:rPr>
                <w:rFonts w:hint="eastAsia" w:ascii="Times New Roman" w:hAnsi="Times New Roman" w:cs="宋体"/>
                <w:color w:val="auto"/>
                <w:sz w:val="21"/>
                <w:szCs w:val="21"/>
              </w:rPr>
              <w:t>护措</w:t>
            </w:r>
          </w:p>
          <w:p w14:paraId="2C4C88E1">
            <w:pPr>
              <w:pStyle w:val="12"/>
              <w:keepNext w:val="0"/>
              <w:keepLines w:val="0"/>
              <w:suppressLineNumbers w:val="0"/>
              <w:adjustRightInd w:val="0"/>
              <w:snapToGrid w:val="0"/>
              <w:spacing w:before="0" w:beforeAutospacing="0" w:after="0" w:afterAutospacing="0"/>
              <w:ind w:left="0" w:right="0"/>
              <w:jc w:val="center"/>
              <w:rPr>
                <w:rFonts w:hint="default" w:ascii="Times New Roman" w:hAnsi="Times New Roman" w:cs="宋体"/>
                <w:bCs/>
                <w:color w:val="auto"/>
                <w:sz w:val="21"/>
                <w:szCs w:val="21"/>
              </w:rPr>
            </w:pPr>
            <w:r>
              <w:rPr>
                <w:rFonts w:hint="eastAsia" w:ascii="Times New Roman" w:hAnsi="Times New Roman" w:cs="宋体"/>
                <w:color w:val="auto"/>
                <w:sz w:val="21"/>
                <w:szCs w:val="21"/>
              </w:rPr>
              <w:t>施</w:t>
            </w:r>
          </w:p>
        </w:tc>
        <w:tc>
          <w:tcPr>
            <w:tcW w:w="8154" w:type="dxa"/>
            <w:tcBorders>
              <w:top w:val="single" w:color="auto" w:sz="8" w:space="0"/>
              <w:left w:val="single" w:color="auto" w:sz="4" w:space="0"/>
              <w:bottom w:val="single" w:color="auto" w:sz="4" w:space="0"/>
              <w:right w:val="single" w:color="auto" w:sz="8" w:space="0"/>
            </w:tcBorders>
            <w:vAlign w:val="center"/>
          </w:tcPr>
          <w:p w14:paraId="45EED7DD">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eastAsia="黑体" w:cs="宋体"/>
                <w:color w:val="auto"/>
                <w:kern w:val="0"/>
                <w:szCs w:val="21"/>
                <w:lang w:val="en-US" w:eastAsia="zh-CN"/>
              </w:rPr>
            </w:pPr>
            <w:r>
              <w:rPr>
                <w:rFonts w:hint="eastAsia" w:eastAsia="黑体" w:cs="宋体"/>
                <w:color w:val="auto"/>
                <w:kern w:val="0"/>
                <w:szCs w:val="21"/>
                <w:lang w:val="en-US" w:eastAsia="zh-CN"/>
              </w:rPr>
              <w:t>经现场踏勘，本项目已完成施工期污水处理的建设、设备的安装等，目前施工现场无遗留的施工期环境问题。本次环评拟对项目施工期进行回顾性分析。</w:t>
            </w:r>
          </w:p>
          <w:p w14:paraId="2A70B5F5">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szCs w:val="21"/>
              </w:rPr>
            </w:pPr>
            <w:r>
              <w:rPr>
                <w:rFonts w:hint="eastAsia" w:eastAsia="黑体" w:cs="宋体"/>
                <w:color w:val="auto"/>
                <w:kern w:val="0"/>
                <w:szCs w:val="21"/>
              </w:rPr>
              <w:t>1、废气</w:t>
            </w:r>
          </w:p>
          <w:p w14:paraId="53F6C2C3">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szCs w:val="21"/>
              </w:rPr>
            </w:pPr>
            <w:r>
              <w:rPr>
                <w:rFonts w:hint="default" w:eastAsiaTheme="minorEastAsia"/>
                <w:color w:val="auto"/>
                <w:szCs w:val="21"/>
              </w:rPr>
              <w:t>施工废气主要是</w:t>
            </w:r>
            <w:r>
              <w:rPr>
                <w:rFonts w:hint="eastAsia" w:eastAsiaTheme="minorEastAsia"/>
                <w:color w:val="auto"/>
                <w:szCs w:val="21"/>
                <w:lang w:val="en-US" w:eastAsia="zh-CN"/>
              </w:rPr>
              <w:t>污水池土建施工的扬尘、</w:t>
            </w:r>
            <w:r>
              <w:rPr>
                <w:rFonts w:hint="default" w:eastAsiaTheme="minorEastAsia"/>
                <w:color w:val="auto"/>
                <w:szCs w:val="21"/>
              </w:rPr>
              <w:t>办公楼内部装修的废气。</w:t>
            </w:r>
            <w:r>
              <w:rPr>
                <w:rFonts w:hint="default"/>
                <w:color w:val="auto"/>
                <w:szCs w:val="21"/>
              </w:rPr>
              <w:t>建筑物工程装修阶段产生的装修废气属无组织排放，主要污染因子是甲醛、氨气等，此外还有极少量的汽油、丁醇和丙醇等。</w:t>
            </w:r>
            <w:r>
              <w:rPr>
                <w:rFonts w:hint="eastAsia"/>
                <w:color w:val="auto"/>
                <w:szCs w:val="21"/>
                <w:lang w:val="en-US" w:eastAsia="zh-CN"/>
              </w:rPr>
              <w:t>已</w:t>
            </w:r>
            <w:r>
              <w:rPr>
                <w:rFonts w:hint="default"/>
                <w:color w:val="auto"/>
                <w:szCs w:val="21"/>
              </w:rPr>
              <w:t>采取的防治措施如下：</w:t>
            </w:r>
          </w:p>
          <w:p w14:paraId="185E9E23">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szCs w:val="21"/>
              </w:rPr>
            </w:pPr>
            <w:r>
              <w:rPr>
                <w:rFonts w:hint="eastAsia"/>
                <w:color w:val="auto"/>
                <w:szCs w:val="21"/>
              </w:rPr>
              <w:t>①施工用的建筑材料（如砂石、水泥等）堆放</w:t>
            </w:r>
            <w:r>
              <w:rPr>
                <w:rFonts w:hint="eastAsia"/>
                <w:color w:val="auto"/>
                <w:szCs w:val="21"/>
                <w:lang w:val="en-US" w:eastAsia="zh-CN"/>
              </w:rPr>
              <w:t>时，</w:t>
            </w:r>
            <w:r>
              <w:rPr>
                <w:rFonts w:hint="eastAsia"/>
                <w:color w:val="auto"/>
                <w:szCs w:val="21"/>
              </w:rPr>
              <w:t>采取覆盖、洒水等措施，并及时清扫地面。施工产生的建筑垃圾及时转运至当地政府指定的地点处置。</w:t>
            </w:r>
          </w:p>
          <w:p w14:paraId="2A649129">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szCs w:val="21"/>
              </w:rPr>
            </w:pPr>
            <w:r>
              <w:rPr>
                <w:rFonts w:hint="eastAsia" w:ascii="宋体" w:hAnsi="宋体" w:cs="宋体"/>
                <w:color w:val="auto"/>
                <w:szCs w:val="21"/>
              </w:rPr>
              <w:t>②</w:t>
            </w:r>
            <w:r>
              <w:rPr>
                <w:rFonts w:hint="eastAsia"/>
                <w:color w:val="auto"/>
                <w:szCs w:val="21"/>
              </w:rPr>
              <w:t>尽量选择污染较小的装饰材料，少用油漆类材料，严格做到建材的无害化（无污染、无辐射等），最大限度地减小有毒有害气体对人体的健康损害；装修阶段和完工</w:t>
            </w:r>
            <w:r>
              <w:rPr>
                <w:rFonts w:hint="eastAsia"/>
                <w:color w:val="auto"/>
                <w:szCs w:val="21"/>
                <w:lang w:val="en-US" w:eastAsia="zh-CN"/>
              </w:rPr>
              <w:t>采取了</w:t>
            </w:r>
            <w:r>
              <w:rPr>
                <w:rFonts w:hint="eastAsia"/>
                <w:color w:val="auto"/>
                <w:szCs w:val="21"/>
              </w:rPr>
              <w:t>加强通风换气</w:t>
            </w:r>
            <w:r>
              <w:rPr>
                <w:rFonts w:hint="eastAsia"/>
                <w:color w:val="auto"/>
                <w:szCs w:val="21"/>
                <w:lang w:val="en-US" w:eastAsia="zh-CN"/>
              </w:rPr>
              <w:t>等措施</w:t>
            </w:r>
            <w:r>
              <w:rPr>
                <w:rFonts w:hint="eastAsia"/>
                <w:color w:val="auto"/>
                <w:szCs w:val="21"/>
              </w:rPr>
              <w:t>，防止甲醛、氨、苯系物、氡等有毒、有害物质超标和放射性物质对人的身体健康造成危害</w:t>
            </w:r>
            <w:r>
              <w:rPr>
                <w:rFonts w:hint="default"/>
                <w:color w:val="auto"/>
                <w:szCs w:val="21"/>
              </w:rPr>
              <w:t>。</w:t>
            </w:r>
          </w:p>
          <w:p w14:paraId="11F51F6F">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szCs w:val="21"/>
              </w:rPr>
            </w:pPr>
            <w:r>
              <w:rPr>
                <w:rFonts w:hint="eastAsia"/>
                <w:color w:val="auto"/>
                <w:szCs w:val="21"/>
              </w:rPr>
              <w:t>③运输车辆采取</w:t>
            </w:r>
            <w:r>
              <w:rPr>
                <w:rFonts w:hint="eastAsia"/>
                <w:color w:val="auto"/>
                <w:szCs w:val="21"/>
                <w:lang w:val="en-US" w:eastAsia="zh-CN"/>
              </w:rPr>
              <w:t>了</w:t>
            </w:r>
            <w:r>
              <w:rPr>
                <w:rFonts w:hint="eastAsia"/>
                <w:color w:val="auto"/>
                <w:szCs w:val="21"/>
              </w:rPr>
              <w:t>覆盖密闭运输的方式；对项目区出入口的尘土及时清扫，并限制汽车行驶速度。</w:t>
            </w:r>
          </w:p>
          <w:p w14:paraId="3F8550E8">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szCs w:val="21"/>
              </w:rPr>
            </w:pPr>
            <w:r>
              <w:rPr>
                <w:rFonts w:hint="eastAsia"/>
                <w:color w:val="auto"/>
                <w:szCs w:val="21"/>
              </w:rPr>
              <w:t>④汽车进出项目区的时间短，且汽车数量很少，少量废气将随大气扩散，基本上不会影响该区域大气环境质量。</w:t>
            </w:r>
          </w:p>
          <w:p w14:paraId="6D9D92AE">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eastAsia" w:eastAsia="宋体"/>
                <w:color w:val="auto"/>
                <w:szCs w:val="21"/>
                <w:lang w:eastAsia="zh-CN"/>
              </w:rPr>
            </w:pPr>
            <w:r>
              <w:rPr>
                <w:rFonts w:hint="eastAsia"/>
                <w:color w:val="auto"/>
                <w:szCs w:val="21"/>
              </w:rPr>
              <w:t>在施工期间</w:t>
            </w:r>
            <w:r>
              <w:rPr>
                <w:rFonts w:hint="eastAsia"/>
                <w:color w:val="auto"/>
                <w:szCs w:val="21"/>
                <w:lang w:eastAsia="zh-CN"/>
              </w:rPr>
              <w:t>，</w:t>
            </w:r>
            <w:r>
              <w:rPr>
                <w:rFonts w:hint="eastAsia"/>
                <w:color w:val="auto"/>
                <w:szCs w:val="21"/>
                <w:lang w:val="en-US" w:eastAsia="zh-CN"/>
              </w:rPr>
              <w:t>通过</w:t>
            </w:r>
            <w:r>
              <w:rPr>
                <w:rFonts w:hint="eastAsia"/>
                <w:color w:val="auto"/>
                <w:szCs w:val="21"/>
              </w:rPr>
              <w:t>采取</w:t>
            </w:r>
            <w:r>
              <w:rPr>
                <w:rFonts w:hint="eastAsia"/>
                <w:color w:val="auto"/>
                <w:szCs w:val="21"/>
                <w:lang w:val="en-US" w:eastAsia="zh-CN"/>
              </w:rPr>
              <w:t>了</w:t>
            </w:r>
            <w:r>
              <w:rPr>
                <w:rFonts w:hint="eastAsia"/>
                <w:color w:val="auto"/>
                <w:szCs w:val="21"/>
              </w:rPr>
              <w:t>有效的环保措施后，施工废气</w:t>
            </w:r>
            <w:r>
              <w:rPr>
                <w:rFonts w:hint="eastAsia"/>
                <w:color w:val="auto"/>
                <w:szCs w:val="21"/>
                <w:lang w:val="en-US" w:eastAsia="zh-CN"/>
              </w:rPr>
              <w:t>未对</w:t>
            </w:r>
            <w:r>
              <w:rPr>
                <w:rFonts w:hint="eastAsia"/>
                <w:color w:val="auto"/>
                <w:szCs w:val="21"/>
              </w:rPr>
              <w:t>区域</w:t>
            </w:r>
            <w:r>
              <w:rPr>
                <w:rFonts w:hint="eastAsia"/>
                <w:color w:val="auto"/>
                <w:szCs w:val="21"/>
                <w:lang w:val="en-US" w:eastAsia="zh-CN"/>
              </w:rPr>
              <w:t>大气环境</w:t>
            </w:r>
            <w:r>
              <w:rPr>
                <w:rFonts w:hint="eastAsia"/>
                <w:color w:val="auto"/>
                <w:szCs w:val="21"/>
              </w:rPr>
              <w:t>产生明显的污染性影响</w:t>
            </w:r>
            <w:r>
              <w:rPr>
                <w:rFonts w:hint="eastAsia"/>
                <w:color w:val="auto"/>
                <w:szCs w:val="21"/>
                <w:lang w:eastAsia="zh-CN"/>
              </w:rPr>
              <w:t>。</w:t>
            </w:r>
          </w:p>
          <w:p w14:paraId="5B2D3A17">
            <w:pPr>
              <w:keepNext w:val="0"/>
              <w:keepLines w:val="0"/>
              <w:suppressLineNumbers w:val="0"/>
              <w:adjustRightInd w:val="0"/>
              <w:snapToGrid w:val="0"/>
              <w:spacing w:before="0" w:beforeAutospacing="0" w:after="0" w:afterAutospacing="0" w:line="400" w:lineRule="exact"/>
              <w:ind w:left="-53" w:leftChars="-25" w:right="-53" w:rightChars="-25"/>
              <w:jc w:val="left"/>
              <w:rPr>
                <w:rFonts w:hint="default" w:eastAsia="黑体"/>
                <w:bCs/>
                <w:color w:val="auto"/>
                <w:sz w:val="22"/>
                <w:szCs w:val="22"/>
              </w:rPr>
            </w:pPr>
            <w:r>
              <w:rPr>
                <w:rFonts w:hint="default" w:eastAsia="黑体"/>
                <w:bCs/>
                <w:color w:val="auto"/>
                <w:sz w:val="22"/>
                <w:szCs w:val="22"/>
              </w:rPr>
              <w:t>2</w:t>
            </w:r>
            <w:r>
              <w:rPr>
                <w:rFonts w:hint="default" w:ascii="黑体" w:hAnsi="黑体" w:eastAsia="黑体"/>
                <w:bCs/>
                <w:color w:val="auto"/>
                <w:sz w:val="22"/>
                <w:szCs w:val="22"/>
              </w:rPr>
              <w:t>、废水</w:t>
            </w:r>
          </w:p>
          <w:p w14:paraId="65A6DFB2">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ascii="宋体" w:hAnsi="宋体"/>
                <w:color w:val="auto"/>
                <w:kern w:val="0"/>
                <w:lang w:val="en-US" w:eastAsia="zh-CN"/>
              </w:rPr>
            </w:pPr>
            <w:r>
              <w:rPr>
                <w:rFonts w:hint="default" w:ascii="宋体" w:hAnsi="宋体"/>
                <w:color w:val="auto"/>
                <w:kern w:val="0"/>
              </w:rPr>
              <w:t>施工废水主要来源于各种设备的清洗废水，其主要污染物为</w:t>
            </w:r>
            <w:r>
              <w:rPr>
                <w:rFonts w:hint="default"/>
                <w:color w:val="auto"/>
                <w:kern w:val="0"/>
              </w:rPr>
              <w:t>SS</w:t>
            </w:r>
            <w:r>
              <w:rPr>
                <w:rFonts w:hint="default" w:ascii="宋体" w:hAnsi="宋体"/>
                <w:color w:val="auto"/>
                <w:kern w:val="0"/>
              </w:rPr>
              <w:t>。施工工人会产生少量的生活污水。采取的措施如下：</w:t>
            </w:r>
            <w:r>
              <w:rPr>
                <w:rFonts w:hint="eastAsia" w:ascii="宋体" w:hAnsi="宋体"/>
                <w:color w:val="auto"/>
                <w:kern w:val="0"/>
              </w:rPr>
              <w:t>①设备清洗</w:t>
            </w:r>
            <w:r>
              <w:rPr>
                <w:rFonts w:hint="default" w:ascii="宋体" w:hAnsi="宋体"/>
                <w:color w:val="auto"/>
                <w:kern w:val="0"/>
              </w:rPr>
              <w:t>废水</w:t>
            </w:r>
            <w:r>
              <w:rPr>
                <w:rFonts w:hint="eastAsia" w:ascii="宋体" w:hAnsi="宋体"/>
                <w:color w:val="auto"/>
                <w:kern w:val="0"/>
              </w:rPr>
              <w:t>设置</w:t>
            </w:r>
            <w:r>
              <w:rPr>
                <w:rFonts w:hint="eastAsia" w:ascii="宋体" w:hAnsi="宋体"/>
                <w:color w:val="auto"/>
                <w:kern w:val="0"/>
                <w:lang w:val="en-US" w:eastAsia="zh-CN"/>
              </w:rPr>
              <w:t>临时沉淀池</w:t>
            </w:r>
            <w:r>
              <w:rPr>
                <w:rFonts w:hint="eastAsia" w:ascii="宋体" w:hAnsi="宋体"/>
                <w:color w:val="auto"/>
                <w:kern w:val="0"/>
              </w:rPr>
              <w:t>收集</w:t>
            </w:r>
            <w:r>
              <w:rPr>
                <w:rFonts w:hint="default" w:ascii="宋体" w:hAnsi="宋体"/>
                <w:color w:val="auto"/>
                <w:kern w:val="0"/>
              </w:rPr>
              <w:t>，静置沉淀后全部回用。</w:t>
            </w:r>
            <w:r>
              <w:rPr>
                <w:rFonts w:hint="eastAsia" w:ascii="宋体" w:hAnsi="宋体" w:cs="宋体"/>
                <w:color w:val="auto"/>
                <w:kern w:val="0"/>
              </w:rPr>
              <w:t>②</w:t>
            </w:r>
            <w:r>
              <w:rPr>
                <w:rFonts w:hint="default" w:ascii="宋体" w:hAnsi="宋体"/>
                <w:color w:val="auto"/>
                <w:kern w:val="0"/>
              </w:rPr>
              <w:t>施工期生活污水利用</w:t>
            </w:r>
            <w:r>
              <w:rPr>
                <w:rFonts w:hint="eastAsia" w:ascii="宋体" w:hAnsi="宋体"/>
                <w:color w:val="auto"/>
                <w:kern w:val="0"/>
                <w:lang w:val="en-US" w:eastAsia="zh-CN"/>
              </w:rPr>
              <w:t>德源医养中心已建化粪池处理。</w:t>
            </w:r>
          </w:p>
          <w:p w14:paraId="1DA5FAC2">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rPr>
            </w:pPr>
            <w:r>
              <w:rPr>
                <w:rFonts w:hint="default" w:ascii="宋体" w:hAnsi="宋体"/>
                <w:color w:val="auto"/>
                <w:kern w:val="0"/>
              </w:rPr>
              <w:t>通过采取以上措施后，可避免施工废水对周围环境造成污染性影响。</w:t>
            </w:r>
          </w:p>
          <w:p w14:paraId="21CCF8C7">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bCs/>
                <w:color w:val="auto"/>
                <w:szCs w:val="21"/>
              </w:rPr>
            </w:pPr>
            <w:r>
              <w:rPr>
                <w:rFonts w:hint="eastAsia" w:eastAsia="黑体"/>
                <w:bCs/>
                <w:color w:val="auto"/>
                <w:szCs w:val="21"/>
              </w:rPr>
              <w:t>3</w:t>
            </w:r>
            <w:r>
              <w:rPr>
                <w:rFonts w:hint="default" w:eastAsia="黑体"/>
                <w:bCs/>
                <w:color w:val="auto"/>
                <w:szCs w:val="21"/>
              </w:rPr>
              <w:t>、噪声</w:t>
            </w:r>
          </w:p>
          <w:p w14:paraId="542E6B8C">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szCs w:val="21"/>
              </w:rPr>
            </w:pPr>
            <w:r>
              <w:rPr>
                <w:rFonts w:hint="eastAsia"/>
                <w:color w:val="auto"/>
                <w:szCs w:val="21"/>
                <w:lang w:val="en-US" w:eastAsia="zh-CN"/>
              </w:rPr>
              <w:t>主要是施工期间的各类设备噪声，如</w:t>
            </w:r>
            <w:r>
              <w:rPr>
                <w:rFonts w:hint="eastAsia"/>
                <w:color w:val="auto"/>
                <w:szCs w:val="21"/>
              </w:rPr>
              <w:t>钻机、空压机、切割机等，噪声源的强度在70～90dB(A)。噪声控制措施如下：</w:t>
            </w:r>
          </w:p>
          <w:p w14:paraId="5F406857">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szCs w:val="21"/>
              </w:rPr>
            </w:pPr>
            <w:r>
              <w:rPr>
                <w:rFonts w:hint="eastAsia"/>
                <w:color w:val="auto"/>
                <w:szCs w:val="21"/>
              </w:rPr>
              <w:t>①</w:t>
            </w:r>
            <w:r>
              <w:rPr>
                <w:rFonts w:hint="default"/>
                <w:color w:val="auto"/>
                <w:szCs w:val="21"/>
              </w:rPr>
              <w:t>加强施工组织和施工管理，合理安排控制施工作业时间，尽量缩短整个施工期。</w:t>
            </w:r>
          </w:p>
          <w:p w14:paraId="3EAA53E8">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szCs w:val="21"/>
              </w:rPr>
            </w:pPr>
            <w:r>
              <w:rPr>
                <w:rFonts w:hint="eastAsia"/>
                <w:color w:val="auto"/>
                <w:szCs w:val="21"/>
              </w:rPr>
              <w:t>②</w:t>
            </w:r>
            <w:r>
              <w:rPr>
                <w:rFonts w:hint="default"/>
                <w:color w:val="auto"/>
                <w:szCs w:val="21"/>
              </w:rPr>
              <w:t>选用先进、噪声较低的环保型施工机械和设备，并及时维修保养，使机器设备处于良好的运行状态；坚持文明施工，降低人为噪声。</w:t>
            </w:r>
          </w:p>
          <w:p w14:paraId="34CD7A2E">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szCs w:val="21"/>
              </w:rPr>
            </w:pPr>
            <w:r>
              <w:rPr>
                <w:rFonts w:hint="eastAsia"/>
                <w:color w:val="auto"/>
                <w:szCs w:val="21"/>
              </w:rPr>
              <w:t>③</w:t>
            </w:r>
            <w:r>
              <w:rPr>
                <w:rFonts w:hint="default"/>
                <w:color w:val="auto"/>
                <w:szCs w:val="21"/>
              </w:rPr>
              <w:t>合理安排工期，做到</w:t>
            </w:r>
            <w:r>
              <w:rPr>
                <w:rFonts w:hint="eastAsia"/>
                <w:color w:val="auto"/>
                <w:szCs w:val="21"/>
                <w:lang w:val="en-US" w:eastAsia="zh-CN"/>
              </w:rPr>
              <w:t>了</w:t>
            </w:r>
            <w:r>
              <w:rPr>
                <w:rFonts w:hint="default"/>
                <w:color w:val="auto"/>
                <w:szCs w:val="21"/>
              </w:rPr>
              <w:t>白天施工</w:t>
            </w:r>
            <w:r>
              <w:rPr>
                <w:rFonts w:hint="eastAsia"/>
                <w:color w:val="auto"/>
                <w:szCs w:val="21"/>
                <w:lang w:eastAsia="zh-CN"/>
              </w:rPr>
              <w:t>，</w:t>
            </w:r>
            <w:r>
              <w:rPr>
                <w:rFonts w:hint="eastAsia"/>
                <w:color w:val="auto"/>
                <w:szCs w:val="21"/>
                <w:lang w:val="en-US" w:eastAsia="zh-CN"/>
              </w:rPr>
              <w:t>夜间和休息时间不施工</w:t>
            </w:r>
            <w:r>
              <w:rPr>
                <w:rFonts w:hint="default"/>
                <w:color w:val="auto"/>
                <w:szCs w:val="21"/>
              </w:rPr>
              <w:t>；对施工器具该轻拿轻放，严禁抛掷</w:t>
            </w:r>
            <w:r>
              <w:rPr>
                <w:rFonts w:hint="eastAsia"/>
                <w:color w:val="auto"/>
                <w:szCs w:val="21"/>
              </w:rPr>
              <w:t>。</w:t>
            </w:r>
          </w:p>
          <w:p w14:paraId="69962ADB">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szCs w:val="21"/>
              </w:rPr>
            </w:pPr>
            <w:r>
              <w:rPr>
                <w:rFonts w:hint="default"/>
                <w:color w:val="auto"/>
                <w:szCs w:val="21"/>
              </w:rPr>
              <w:t>通过严格的施工管理和落实以上控制措施后，施工</w:t>
            </w:r>
            <w:r>
              <w:rPr>
                <w:rFonts w:hint="eastAsia"/>
                <w:color w:val="auto"/>
                <w:szCs w:val="21"/>
                <w:lang w:val="en-US" w:eastAsia="zh-CN"/>
              </w:rPr>
              <w:t>期间未发生施工</w:t>
            </w:r>
            <w:r>
              <w:rPr>
                <w:rFonts w:hint="default"/>
                <w:color w:val="auto"/>
                <w:szCs w:val="21"/>
              </w:rPr>
              <w:t>噪声</w:t>
            </w:r>
            <w:r>
              <w:rPr>
                <w:rFonts w:hint="eastAsia"/>
                <w:color w:val="auto"/>
                <w:szCs w:val="21"/>
                <w:lang w:val="en-US" w:eastAsia="zh-CN"/>
              </w:rPr>
              <w:t>扰民现象。场界噪声</w:t>
            </w:r>
            <w:r>
              <w:rPr>
                <w:rFonts w:hint="default"/>
                <w:color w:val="auto"/>
                <w:szCs w:val="21"/>
              </w:rPr>
              <w:t>能够满足《建筑施工场界环境噪声排放限值》（GB12523-2011）的相关要求。</w:t>
            </w:r>
          </w:p>
          <w:p w14:paraId="459371E0">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bCs/>
                <w:color w:val="auto"/>
                <w:szCs w:val="21"/>
              </w:rPr>
            </w:pPr>
            <w:r>
              <w:rPr>
                <w:rFonts w:hint="eastAsia" w:eastAsia="黑体"/>
                <w:bCs/>
                <w:color w:val="auto"/>
                <w:szCs w:val="21"/>
              </w:rPr>
              <w:t>4</w:t>
            </w:r>
            <w:r>
              <w:rPr>
                <w:rFonts w:hint="default" w:eastAsia="黑体"/>
                <w:bCs/>
                <w:color w:val="auto"/>
                <w:szCs w:val="21"/>
              </w:rPr>
              <w:t>、固体废物</w:t>
            </w:r>
          </w:p>
          <w:p w14:paraId="4E5517BE">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kern w:val="0"/>
                <w:szCs w:val="21"/>
              </w:rPr>
            </w:pPr>
            <w:r>
              <w:rPr>
                <w:rFonts w:hint="eastAsia"/>
                <w:color w:val="auto"/>
                <w:kern w:val="0"/>
                <w:szCs w:val="21"/>
              </w:rPr>
              <w:t>施工期产生的固体废物主要有建筑垃圾和废弃包装材料。</w:t>
            </w:r>
          </w:p>
          <w:p w14:paraId="16E2ADA1">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kern w:val="0"/>
                <w:szCs w:val="21"/>
              </w:rPr>
            </w:pPr>
            <w:r>
              <w:rPr>
                <w:rFonts w:hint="eastAsia"/>
                <w:color w:val="auto"/>
                <w:kern w:val="0"/>
                <w:szCs w:val="21"/>
              </w:rPr>
              <w:t>①施工中，对可以回收利用的（如废钢铁、包装材料等）部分建筑垃圾集中收集，送到废品回收站回收利用。不能回收利用的建筑垃圾及时运出施工现场，外运至当地政府指定的弃土场，不会产生二次污染。</w:t>
            </w:r>
          </w:p>
          <w:p w14:paraId="3067CCED">
            <w:pPr>
              <w:keepNext w:val="0"/>
              <w:keepLines w:val="0"/>
              <w:suppressLineNumbers w:val="0"/>
              <w:autoSpaceDE w:val="0"/>
              <w:autoSpaceDN w:val="0"/>
              <w:adjustRightInd w:val="0"/>
              <w:spacing w:before="0" w:beforeAutospacing="0" w:after="0" w:afterAutospacing="0" w:line="400" w:lineRule="exact"/>
              <w:ind w:left="0" w:right="0" w:firstLine="422" w:firstLineChars="201"/>
              <w:jc w:val="left"/>
              <w:rPr>
                <w:rFonts w:hint="default"/>
                <w:color w:val="auto"/>
                <w:kern w:val="0"/>
                <w:szCs w:val="21"/>
              </w:rPr>
            </w:pPr>
            <w:r>
              <w:rPr>
                <w:rFonts w:hint="eastAsia"/>
                <w:color w:val="auto"/>
                <w:kern w:val="0"/>
                <w:szCs w:val="21"/>
              </w:rPr>
              <w:t>②施工期少量生活垃圾设置固定的垃圾桶收集，然后由环卫部门定期统一清理，严禁乱堆乱扔。</w:t>
            </w:r>
          </w:p>
          <w:p w14:paraId="13B7ED54">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kern w:val="0"/>
                <w:szCs w:val="21"/>
              </w:rPr>
              <w:t>采取上述措施后，项目施工期的固体废物</w:t>
            </w:r>
            <w:r>
              <w:rPr>
                <w:rFonts w:hint="eastAsia"/>
                <w:color w:val="auto"/>
                <w:kern w:val="0"/>
                <w:szCs w:val="21"/>
                <w:lang w:val="en-US" w:eastAsia="zh-CN"/>
              </w:rPr>
              <w:t>未</w:t>
            </w:r>
            <w:r>
              <w:rPr>
                <w:rFonts w:hint="eastAsia"/>
                <w:color w:val="auto"/>
                <w:kern w:val="0"/>
                <w:szCs w:val="21"/>
              </w:rPr>
              <w:t>对环境产生不利影响</w:t>
            </w:r>
            <w:r>
              <w:rPr>
                <w:rFonts w:hint="default"/>
                <w:color w:val="auto"/>
                <w:kern w:val="0"/>
                <w:szCs w:val="21"/>
              </w:rPr>
              <w:t>。</w:t>
            </w:r>
          </w:p>
        </w:tc>
      </w:tr>
      <w:tr w14:paraId="6B180D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tcBorders>
              <w:top w:val="single" w:color="auto" w:sz="4" w:space="0"/>
              <w:left w:val="single" w:color="auto" w:sz="8" w:space="0"/>
              <w:bottom w:val="single" w:color="auto" w:sz="8" w:space="0"/>
              <w:right w:val="single" w:color="auto" w:sz="4" w:space="0"/>
            </w:tcBorders>
            <w:tcMar>
              <w:top w:w="0" w:type="dxa"/>
              <w:left w:w="28" w:type="dxa"/>
              <w:bottom w:w="0" w:type="dxa"/>
              <w:right w:w="28" w:type="dxa"/>
            </w:tcMar>
            <w:vAlign w:val="center"/>
          </w:tcPr>
          <w:p w14:paraId="590BD86B">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5AEAEF4E">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04A3F0A7">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1779C864">
            <w:pPr>
              <w:pStyle w:val="2"/>
              <w:keepNext w:val="0"/>
              <w:keepLines w:val="0"/>
              <w:suppressLineNumbers w:val="0"/>
              <w:spacing w:before="0" w:beforeAutospacing="0" w:afterAutospacing="0"/>
              <w:ind w:right="0"/>
              <w:rPr>
                <w:rFonts w:hint="default"/>
                <w:color w:val="auto"/>
              </w:rPr>
            </w:pPr>
          </w:p>
          <w:p w14:paraId="0CB05C6B">
            <w:pPr>
              <w:pStyle w:val="3"/>
              <w:keepNext w:val="0"/>
              <w:keepLines w:val="0"/>
              <w:suppressLineNumbers w:val="0"/>
              <w:spacing w:before="0" w:beforeAutospacing="0" w:after="0" w:afterAutospacing="0"/>
              <w:ind w:left="0" w:right="0"/>
              <w:rPr>
                <w:rFonts w:hint="default"/>
                <w:color w:val="auto"/>
              </w:rPr>
            </w:pPr>
          </w:p>
          <w:p w14:paraId="3E0B41B9">
            <w:pPr>
              <w:pStyle w:val="4"/>
              <w:keepNext w:val="0"/>
              <w:keepLines w:val="0"/>
              <w:suppressLineNumbers w:val="0"/>
              <w:spacing w:before="0" w:beforeAutospacing="0" w:after="0" w:afterAutospacing="0"/>
              <w:ind w:right="0"/>
              <w:rPr>
                <w:rFonts w:hint="default"/>
                <w:color w:val="auto"/>
              </w:rPr>
            </w:pPr>
          </w:p>
          <w:p w14:paraId="3A499364">
            <w:pPr>
              <w:pStyle w:val="4"/>
              <w:keepNext w:val="0"/>
              <w:keepLines w:val="0"/>
              <w:suppressLineNumbers w:val="0"/>
              <w:spacing w:before="0" w:beforeAutospacing="0" w:after="0" w:afterAutospacing="0"/>
              <w:ind w:right="0"/>
              <w:rPr>
                <w:rFonts w:hint="default"/>
                <w:color w:val="auto"/>
              </w:rPr>
            </w:pPr>
          </w:p>
          <w:p w14:paraId="6607DA99">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6AA9E736">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14:paraId="73665736">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14:paraId="1434F418">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14:paraId="641B0B37">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14:paraId="1C893D64">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14:paraId="19BD96FF">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14:paraId="132CC3C7">
            <w:pPr>
              <w:pStyle w:val="2"/>
              <w:keepNext w:val="0"/>
              <w:keepLines w:val="0"/>
              <w:suppressLineNumbers w:val="0"/>
              <w:spacing w:before="0" w:beforeAutospacing="0" w:afterAutospacing="0"/>
              <w:ind w:right="0"/>
              <w:rPr>
                <w:rFonts w:hint="default"/>
                <w:color w:val="auto"/>
              </w:rPr>
            </w:pPr>
          </w:p>
          <w:p w14:paraId="2EC644EE">
            <w:pPr>
              <w:pStyle w:val="3"/>
              <w:keepNext w:val="0"/>
              <w:keepLines w:val="0"/>
              <w:suppressLineNumbers w:val="0"/>
              <w:spacing w:before="0" w:beforeAutospacing="0" w:after="0" w:afterAutospacing="0"/>
              <w:ind w:left="0" w:right="0"/>
              <w:rPr>
                <w:rFonts w:hint="default"/>
                <w:color w:val="auto"/>
              </w:rPr>
            </w:pPr>
          </w:p>
          <w:p w14:paraId="56135AF2">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1611BFBA">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30384F9F">
            <w:pPr>
              <w:pStyle w:val="2"/>
              <w:keepNext w:val="0"/>
              <w:keepLines w:val="0"/>
              <w:suppressLineNumbers w:val="0"/>
              <w:spacing w:before="0" w:beforeAutospacing="0" w:afterAutospacing="0"/>
              <w:ind w:right="0"/>
              <w:rPr>
                <w:rFonts w:hint="default"/>
                <w:color w:val="auto"/>
              </w:rPr>
            </w:pPr>
          </w:p>
          <w:p w14:paraId="22132B99">
            <w:pPr>
              <w:pStyle w:val="3"/>
              <w:keepNext w:val="0"/>
              <w:keepLines w:val="0"/>
              <w:suppressLineNumbers w:val="0"/>
              <w:spacing w:before="0" w:beforeAutospacing="0" w:after="0" w:afterAutospacing="0"/>
              <w:ind w:left="0" w:right="0"/>
              <w:rPr>
                <w:rFonts w:hint="default"/>
                <w:color w:val="auto"/>
              </w:rPr>
            </w:pPr>
          </w:p>
          <w:p w14:paraId="67A96005">
            <w:pPr>
              <w:pStyle w:val="4"/>
              <w:keepNext w:val="0"/>
              <w:keepLines w:val="0"/>
              <w:suppressLineNumbers w:val="0"/>
              <w:spacing w:before="0" w:beforeAutospacing="0" w:after="0" w:afterAutospacing="0"/>
              <w:ind w:right="0"/>
              <w:rPr>
                <w:rFonts w:hint="default"/>
                <w:color w:val="auto"/>
              </w:rPr>
            </w:pPr>
          </w:p>
          <w:p w14:paraId="384E3043">
            <w:pPr>
              <w:pStyle w:val="4"/>
              <w:keepNext w:val="0"/>
              <w:keepLines w:val="0"/>
              <w:suppressLineNumbers w:val="0"/>
              <w:spacing w:before="0" w:beforeAutospacing="0" w:after="0" w:afterAutospacing="0"/>
              <w:ind w:right="0"/>
              <w:rPr>
                <w:rFonts w:hint="default"/>
                <w:color w:val="auto"/>
              </w:rPr>
            </w:pPr>
          </w:p>
          <w:p w14:paraId="5DC50D2B">
            <w:pPr>
              <w:pStyle w:val="4"/>
              <w:keepNext w:val="0"/>
              <w:keepLines w:val="0"/>
              <w:suppressLineNumbers w:val="0"/>
              <w:spacing w:before="0" w:beforeAutospacing="0" w:after="0" w:afterAutospacing="0"/>
              <w:ind w:right="0"/>
              <w:rPr>
                <w:rFonts w:hint="default"/>
                <w:color w:val="auto"/>
              </w:rPr>
            </w:pPr>
          </w:p>
          <w:p w14:paraId="0D266452">
            <w:pPr>
              <w:pStyle w:val="4"/>
              <w:keepNext w:val="0"/>
              <w:keepLines w:val="0"/>
              <w:suppressLineNumbers w:val="0"/>
              <w:spacing w:before="0" w:beforeAutospacing="0" w:after="0" w:afterAutospacing="0"/>
              <w:ind w:right="0"/>
              <w:rPr>
                <w:rFonts w:hint="default"/>
                <w:color w:val="auto"/>
              </w:rPr>
            </w:pPr>
          </w:p>
          <w:p w14:paraId="2B76715B">
            <w:pPr>
              <w:pStyle w:val="4"/>
              <w:keepNext w:val="0"/>
              <w:keepLines w:val="0"/>
              <w:suppressLineNumbers w:val="0"/>
              <w:spacing w:before="0" w:beforeAutospacing="0" w:after="0" w:afterAutospacing="0"/>
              <w:ind w:right="0"/>
              <w:rPr>
                <w:rFonts w:hint="default"/>
                <w:color w:val="auto"/>
              </w:rPr>
            </w:pPr>
          </w:p>
          <w:p w14:paraId="346A2388">
            <w:pPr>
              <w:pStyle w:val="4"/>
              <w:keepNext w:val="0"/>
              <w:keepLines w:val="0"/>
              <w:suppressLineNumbers w:val="0"/>
              <w:spacing w:before="0" w:beforeAutospacing="0" w:after="0" w:afterAutospacing="0"/>
              <w:ind w:right="0"/>
              <w:rPr>
                <w:rFonts w:hint="default"/>
                <w:color w:val="auto"/>
              </w:rPr>
            </w:pPr>
          </w:p>
          <w:p w14:paraId="5CCD24F4">
            <w:pPr>
              <w:pStyle w:val="4"/>
              <w:keepNext w:val="0"/>
              <w:keepLines w:val="0"/>
              <w:suppressLineNumbers w:val="0"/>
              <w:spacing w:before="0" w:beforeAutospacing="0" w:after="0" w:afterAutospacing="0"/>
              <w:ind w:right="0"/>
              <w:rPr>
                <w:rFonts w:hint="default"/>
                <w:color w:val="auto"/>
              </w:rPr>
            </w:pPr>
          </w:p>
          <w:p w14:paraId="010E189A">
            <w:pPr>
              <w:pStyle w:val="4"/>
              <w:keepNext w:val="0"/>
              <w:keepLines w:val="0"/>
              <w:suppressLineNumbers w:val="0"/>
              <w:spacing w:before="0" w:beforeAutospacing="0" w:after="0" w:afterAutospacing="0"/>
              <w:ind w:right="0"/>
              <w:rPr>
                <w:rFonts w:hint="default"/>
                <w:color w:val="auto"/>
              </w:rPr>
            </w:pPr>
          </w:p>
          <w:p w14:paraId="0862B314">
            <w:pPr>
              <w:pStyle w:val="4"/>
              <w:keepNext w:val="0"/>
              <w:keepLines w:val="0"/>
              <w:suppressLineNumbers w:val="0"/>
              <w:spacing w:before="0" w:beforeAutospacing="0" w:after="0" w:afterAutospacing="0"/>
              <w:ind w:right="0"/>
              <w:rPr>
                <w:rFonts w:hint="default"/>
                <w:color w:val="auto"/>
              </w:rPr>
            </w:pPr>
          </w:p>
          <w:p w14:paraId="735D697B">
            <w:pPr>
              <w:pStyle w:val="4"/>
              <w:keepNext w:val="0"/>
              <w:keepLines w:val="0"/>
              <w:suppressLineNumbers w:val="0"/>
              <w:spacing w:before="0" w:beforeAutospacing="0" w:after="0" w:afterAutospacing="0"/>
              <w:ind w:right="0"/>
              <w:rPr>
                <w:rFonts w:hint="default"/>
                <w:color w:val="auto"/>
              </w:rPr>
            </w:pPr>
          </w:p>
          <w:p w14:paraId="3F38BECD">
            <w:pPr>
              <w:pStyle w:val="4"/>
              <w:keepNext w:val="0"/>
              <w:keepLines w:val="0"/>
              <w:suppressLineNumbers w:val="0"/>
              <w:spacing w:before="0" w:beforeAutospacing="0" w:after="0" w:afterAutospacing="0"/>
              <w:ind w:right="0"/>
              <w:rPr>
                <w:rFonts w:hint="default"/>
                <w:color w:val="auto"/>
              </w:rPr>
            </w:pPr>
          </w:p>
          <w:p w14:paraId="1BA70AAC">
            <w:pPr>
              <w:pStyle w:val="4"/>
              <w:keepNext w:val="0"/>
              <w:keepLines w:val="0"/>
              <w:suppressLineNumbers w:val="0"/>
              <w:spacing w:before="0" w:beforeAutospacing="0" w:after="0" w:afterAutospacing="0"/>
              <w:ind w:right="0"/>
              <w:rPr>
                <w:rFonts w:hint="default"/>
                <w:color w:val="auto"/>
              </w:rPr>
            </w:pPr>
          </w:p>
          <w:p w14:paraId="51D4F3E5">
            <w:pPr>
              <w:pStyle w:val="4"/>
              <w:keepNext w:val="0"/>
              <w:keepLines w:val="0"/>
              <w:suppressLineNumbers w:val="0"/>
              <w:spacing w:before="0" w:beforeAutospacing="0" w:after="0" w:afterAutospacing="0"/>
              <w:ind w:right="0"/>
              <w:rPr>
                <w:rFonts w:hint="default"/>
                <w:color w:val="auto"/>
              </w:rPr>
            </w:pPr>
          </w:p>
          <w:p w14:paraId="15BCDE5F">
            <w:pPr>
              <w:pStyle w:val="4"/>
              <w:keepNext w:val="0"/>
              <w:keepLines w:val="0"/>
              <w:suppressLineNumbers w:val="0"/>
              <w:spacing w:before="0" w:beforeAutospacing="0" w:after="0" w:afterAutospacing="0"/>
              <w:ind w:right="0"/>
              <w:rPr>
                <w:rFonts w:hint="default"/>
                <w:color w:val="auto"/>
              </w:rPr>
            </w:pPr>
          </w:p>
          <w:p w14:paraId="0D383C50">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14:paraId="3DAAEC13">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14:paraId="3A4125DC">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14:paraId="3F83E836">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14:paraId="5AE2004A">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14:paraId="30B9C8C0">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14:paraId="56AD8A02">
            <w:pPr>
              <w:pStyle w:val="2"/>
              <w:keepNext w:val="0"/>
              <w:keepLines w:val="0"/>
              <w:suppressLineNumbers w:val="0"/>
              <w:spacing w:before="0" w:beforeAutospacing="0" w:afterAutospacing="0"/>
              <w:ind w:right="0"/>
              <w:rPr>
                <w:rFonts w:hint="default"/>
                <w:color w:val="auto"/>
              </w:rPr>
            </w:pPr>
          </w:p>
          <w:p w14:paraId="08047DD6">
            <w:pPr>
              <w:pStyle w:val="4"/>
              <w:keepNext w:val="0"/>
              <w:keepLines w:val="0"/>
              <w:suppressLineNumbers w:val="0"/>
              <w:spacing w:before="0" w:beforeAutospacing="0" w:after="0" w:afterAutospacing="0"/>
              <w:ind w:right="0"/>
              <w:rPr>
                <w:rFonts w:hint="default"/>
                <w:color w:val="auto"/>
              </w:rPr>
            </w:pPr>
          </w:p>
          <w:p w14:paraId="452F4810">
            <w:pPr>
              <w:pStyle w:val="3"/>
              <w:keepNext w:val="0"/>
              <w:keepLines w:val="0"/>
              <w:suppressLineNumbers w:val="0"/>
              <w:spacing w:before="0" w:beforeAutospacing="0" w:after="0" w:afterAutospacing="0"/>
              <w:ind w:left="0" w:right="0"/>
              <w:rPr>
                <w:rFonts w:hint="default"/>
                <w:color w:val="auto"/>
              </w:rPr>
            </w:pPr>
          </w:p>
          <w:p w14:paraId="648B2838">
            <w:pPr>
              <w:pStyle w:val="4"/>
              <w:keepNext w:val="0"/>
              <w:keepLines w:val="0"/>
              <w:suppressLineNumbers w:val="0"/>
              <w:spacing w:before="0" w:beforeAutospacing="0" w:after="0" w:afterAutospacing="0"/>
              <w:ind w:right="0"/>
              <w:rPr>
                <w:rFonts w:hint="default"/>
                <w:color w:val="auto"/>
              </w:rPr>
            </w:pPr>
          </w:p>
          <w:p w14:paraId="5ED1E1FA">
            <w:pPr>
              <w:pStyle w:val="4"/>
              <w:keepNext w:val="0"/>
              <w:keepLines w:val="0"/>
              <w:suppressLineNumbers w:val="0"/>
              <w:spacing w:before="0" w:beforeAutospacing="0" w:after="0" w:afterAutospacing="0"/>
              <w:ind w:right="0"/>
              <w:rPr>
                <w:rFonts w:hint="default"/>
                <w:color w:val="auto"/>
              </w:rPr>
            </w:pPr>
          </w:p>
          <w:p w14:paraId="1CC64F2B">
            <w:pPr>
              <w:pStyle w:val="4"/>
              <w:keepNext w:val="0"/>
              <w:keepLines w:val="0"/>
              <w:suppressLineNumbers w:val="0"/>
              <w:spacing w:before="0" w:beforeAutospacing="0" w:after="0" w:afterAutospacing="0"/>
              <w:ind w:right="0"/>
              <w:rPr>
                <w:rFonts w:hint="default"/>
                <w:color w:val="auto"/>
              </w:rPr>
            </w:pPr>
          </w:p>
          <w:p w14:paraId="70E92566">
            <w:pPr>
              <w:pStyle w:val="4"/>
              <w:keepNext w:val="0"/>
              <w:keepLines w:val="0"/>
              <w:suppressLineNumbers w:val="0"/>
              <w:spacing w:before="0" w:beforeAutospacing="0" w:after="0" w:afterAutospacing="0"/>
              <w:ind w:right="0"/>
              <w:rPr>
                <w:rFonts w:hint="default"/>
                <w:color w:val="auto"/>
              </w:rPr>
            </w:pPr>
          </w:p>
          <w:p w14:paraId="39C705A6">
            <w:pPr>
              <w:pStyle w:val="4"/>
              <w:keepNext w:val="0"/>
              <w:keepLines w:val="0"/>
              <w:suppressLineNumbers w:val="0"/>
              <w:spacing w:before="0" w:beforeAutospacing="0" w:after="0" w:afterAutospacing="0"/>
              <w:ind w:right="0"/>
              <w:rPr>
                <w:rFonts w:hint="default"/>
                <w:color w:val="auto"/>
              </w:rPr>
            </w:pPr>
          </w:p>
          <w:p w14:paraId="141D325D">
            <w:pPr>
              <w:pStyle w:val="4"/>
              <w:keepNext w:val="0"/>
              <w:keepLines w:val="0"/>
              <w:suppressLineNumbers w:val="0"/>
              <w:spacing w:before="0" w:beforeAutospacing="0" w:after="0" w:afterAutospacing="0"/>
              <w:ind w:right="0"/>
              <w:rPr>
                <w:rFonts w:hint="default"/>
                <w:color w:val="auto"/>
              </w:rPr>
            </w:pPr>
          </w:p>
          <w:p w14:paraId="56C0195E">
            <w:pPr>
              <w:pStyle w:val="4"/>
              <w:keepNext w:val="0"/>
              <w:keepLines w:val="0"/>
              <w:suppressLineNumbers w:val="0"/>
              <w:spacing w:before="0" w:beforeAutospacing="0" w:after="0" w:afterAutospacing="0"/>
              <w:ind w:right="0"/>
              <w:rPr>
                <w:rFonts w:hint="default"/>
                <w:color w:val="auto"/>
              </w:rPr>
            </w:pPr>
          </w:p>
          <w:p w14:paraId="2095F42B">
            <w:pPr>
              <w:pStyle w:val="4"/>
              <w:keepNext w:val="0"/>
              <w:keepLines w:val="0"/>
              <w:suppressLineNumbers w:val="0"/>
              <w:spacing w:before="0" w:beforeAutospacing="0" w:after="0" w:afterAutospacing="0"/>
              <w:ind w:right="0"/>
              <w:rPr>
                <w:rFonts w:hint="default"/>
                <w:color w:val="auto"/>
              </w:rPr>
            </w:pPr>
          </w:p>
          <w:p w14:paraId="51F14809">
            <w:pPr>
              <w:pStyle w:val="4"/>
              <w:keepNext w:val="0"/>
              <w:keepLines w:val="0"/>
              <w:suppressLineNumbers w:val="0"/>
              <w:spacing w:before="0" w:beforeAutospacing="0" w:after="0" w:afterAutospacing="0"/>
              <w:ind w:right="0"/>
              <w:rPr>
                <w:rFonts w:hint="default"/>
                <w:color w:val="auto"/>
              </w:rPr>
            </w:pPr>
          </w:p>
          <w:p w14:paraId="63809D6B">
            <w:pPr>
              <w:pStyle w:val="4"/>
              <w:keepNext w:val="0"/>
              <w:keepLines w:val="0"/>
              <w:suppressLineNumbers w:val="0"/>
              <w:spacing w:before="0" w:beforeAutospacing="0" w:after="0" w:afterAutospacing="0"/>
              <w:ind w:right="0"/>
              <w:rPr>
                <w:rFonts w:hint="default"/>
                <w:color w:val="auto"/>
              </w:rPr>
            </w:pPr>
          </w:p>
          <w:p w14:paraId="6AA05AAF">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1101A0FD">
            <w:pPr>
              <w:pStyle w:val="2"/>
              <w:keepNext w:val="0"/>
              <w:keepLines w:val="0"/>
              <w:suppressLineNumbers w:val="0"/>
              <w:spacing w:before="0" w:beforeAutospacing="0" w:afterAutospacing="0"/>
              <w:ind w:right="0"/>
              <w:rPr>
                <w:rFonts w:hint="default"/>
                <w:color w:val="auto"/>
              </w:rPr>
            </w:pPr>
          </w:p>
          <w:p w14:paraId="2A856726">
            <w:pPr>
              <w:pStyle w:val="3"/>
              <w:keepNext w:val="0"/>
              <w:keepLines w:val="0"/>
              <w:suppressLineNumbers w:val="0"/>
              <w:spacing w:before="0" w:beforeAutospacing="0" w:after="0" w:afterAutospacing="0"/>
              <w:ind w:left="0" w:right="0"/>
              <w:rPr>
                <w:rFonts w:hint="default"/>
                <w:color w:val="auto"/>
              </w:rPr>
            </w:pPr>
          </w:p>
          <w:p w14:paraId="61E35699">
            <w:pPr>
              <w:pStyle w:val="4"/>
              <w:keepNext w:val="0"/>
              <w:keepLines w:val="0"/>
              <w:suppressLineNumbers w:val="0"/>
              <w:spacing w:before="0" w:beforeAutospacing="0" w:after="0" w:afterAutospacing="0"/>
              <w:ind w:right="0"/>
              <w:rPr>
                <w:rFonts w:hint="default"/>
                <w:color w:val="auto"/>
              </w:rPr>
            </w:pPr>
          </w:p>
          <w:p w14:paraId="06CEE1FD">
            <w:pPr>
              <w:pStyle w:val="4"/>
              <w:keepNext w:val="0"/>
              <w:keepLines w:val="0"/>
              <w:suppressLineNumbers w:val="0"/>
              <w:spacing w:before="0" w:beforeAutospacing="0" w:after="0" w:afterAutospacing="0"/>
              <w:ind w:right="0"/>
              <w:rPr>
                <w:rFonts w:hint="default"/>
                <w:color w:val="auto"/>
              </w:rPr>
            </w:pPr>
          </w:p>
          <w:p w14:paraId="4D1E3DFD">
            <w:pPr>
              <w:pStyle w:val="4"/>
              <w:keepNext w:val="0"/>
              <w:keepLines w:val="0"/>
              <w:suppressLineNumbers w:val="0"/>
              <w:spacing w:before="0" w:beforeAutospacing="0" w:after="0" w:afterAutospacing="0"/>
              <w:ind w:right="0"/>
              <w:rPr>
                <w:rFonts w:hint="default"/>
                <w:color w:val="auto"/>
              </w:rPr>
            </w:pPr>
          </w:p>
          <w:p w14:paraId="4D811CD7">
            <w:pPr>
              <w:pStyle w:val="4"/>
              <w:keepNext w:val="0"/>
              <w:keepLines w:val="0"/>
              <w:suppressLineNumbers w:val="0"/>
              <w:spacing w:before="0" w:beforeAutospacing="0" w:after="0" w:afterAutospacing="0"/>
              <w:ind w:right="0"/>
              <w:rPr>
                <w:rFonts w:hint="default"/>
                <w:color w:val="auto"/>
              </w:rPr>
            </w:pPr>
          </w:p>
          <w:p w14:paraId="43BB71EC">
            <w:pPr>
              <w:pStyle w:val="4"/>
              <w:keepNext w:val="0"/>
              <w:keepLines w:val="0"/>
              <w:suppressLineNumbers w:val="0"/>
              <w:spacing w:before="0" w:beforeAutospacing="0" w:after="0" w:afterAutospacing="0"/>
              <w:ind w:right="0"/>
              <w:rPr>
                <w:rFonts w:hint="default"/>
                <w:color w:val="auto"/>
              </w:rPr>
            </w:pPr>
          </w:p>
          <w:p w14:paraId="0A0B028E">
            <w:pPr>
              <w:pStyle w:val="4"/>
              <w:keepNext w:val="0"/>
              <w:keepLines w:val="0"/>
              <w:suppressLineNumbers w:val="0"/>
              <w:spacing w:before="0" w:beforeAutospacing="0" w:after="0" w:afterAutospacing="0"/>
              <w:ind w:right="0"/>
              <w:rPr>
                <w:rFonts w:hint="default"/>
                <w:color w:val="auto"/>
              </w:rPr>
            </w:pPr>
          </w:p>
          <w:p w14:paraId="79E384C1">
            <w:pPr>
              <w:pStyle w:val="4"/>
              <w:keepNext w:val="0"/>
              <w:keepLines w:val="0"/>
              <w:suppressLineNumbers w:val="0"/>
              <w:spacing w:before="0" w:beforeAutospacing="0" w:after="0" w:afterAutospacing="0"/>
              <w:ind w:right="0"/>
              <w:rPr>
                <w:rFonts w:hint="default"/>
                <w:color w:val="auto"/>
              </w:rPr>
            </w:pPr>
          </w:p>
          <w:p w14:paraId="77E64BF3">
            <w:pPr>
              <w:pStyle w:val="4"/>
              <w:keepNext w:val="0"/>
              <w:keepLines w:val="0"/>
              <w:suppressLineNumbers w:val="0"/>
              <w:spacing w:before="0" w:beforeAutospacing="0" w:after="0" w:afterAutospacing="0"/>
              <w:ind w:right="0"/>
              <w:rPr>
                <w:rFonts w:hint="default"/>
                <w:color w:val="auto"/>
              </w:rPr>
            </w:pPr>
          </w:p>
          <w:p w14:paraId="72E1FA1E">
            <w:pPr>
              <w:pStyle w:val="4"/>
              <w:keepNext w:val="0"/>
              <w:keepLines w:val="0"/>
              <w:suppressLineNumbers w:val="0"/>
              <w:spacing w:before="0" w:beforeAutospacing="0" w:after="0" w:afterAutospacing="0"/>
              <w:ind w:right="0"/>
              <w:rPr>
                <w:rFonts w:hint="default"/>
                <w:color w:val="auto"/>
              </w:rPr>
            </w:pPr>
          </w:p>
          <w:p w14:paraId="1EA8E30B">
            <w:pPr>
              <w:pStyle w:val="4"/>
              <w:keepNext w:val="0"/>
              <w:keepLines w:val="0"/>
              <w:suppressLineNumbers w:val="0"/>
              <w:spacing w:before="0" w:beforeAutospacing="0" w:after="0" w:afterAutospacing="0"/>
              <w:ind w:right="0"/>
              <w:rPr>
                <w:rFonts w:hint="default"/>
                <w:color w:val="auto"/>
              </w:rPr>
            </w:pPr>
          </w:p>
          <w:p w14:paraId="4B037F52">
            <w:pPr>
              <w:pStyle w:val="4"/>
              <w:keepNext w:val="0"/>
              <w:keepLines w:val="0"/>
              <w:suppressLineNumbers w:val="0"/>
              <w:spacing w:before="0" w:beforeAutospacing="0" w:after="0" w:afterAutospacing="0"/>
              <w:ind w:right="0"/>
              <w:rPr>
                <w:rFonts w:hint="default"/>
                <w:color w:val="auto"/>
              </w:rPr>
            </w:pPr>
          </w:p>
          <w:p w14:paraId="59A14AAE">
            <w:pPr>
              <w:pStyle w:val="4"/>
              <w:keepNext w:val="0"/>
              <w:keepLines w:val="0"/>
              <w:suppressLineNumbers w:val="0"/>
              <w:spacing w:before="0" w:beforeAutospacing="0" w:after="0" w:afterAutospacing="0"/>
              <w:ind w:right="0"/>
              <w:rPr>
                <w:rFonts w:hint="default"/>
                <w:color w:val="auto"/>
              </w:rPr>
            </w:pPr>
          </w:p>
          <w:p w14:paraId="6E0CCCDB">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0E788AE7">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14:paraId="0C02DB53">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14:paraId="6A09D42D">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14:paraId="0CE63863">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14:paraId="41E3BE45">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14:paraId="6B930A5A">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14:paraId="7346241F">
            <w:pPr>
              <w:pStyle w:val="2"/>
              <w:keepNext w:val="0"/>
              <w:keepLines w:val="0"/>
              <w:suppressLineNumbers w:val="0"/>
              <w:spacing w:before="0" w:beforeAutospacing="0" w:afterAutospacing="0"/>
              <w:ind w:right="0"/>
              <w:rPr>
                <w:rFonts w:hint="default"/>
                <w:color w:val="auto"/>
              </w:rPr>
            </w:pPr>
          </w:p>
          <w:p w14:paraId="264914DA">
            <w:pPr>
              <w:pStyle w:val="4"/>
              <w:keepNext w:val="0"/>
              <w:keepLines w:val="0"/>
              <w:suppressLineNumbers w:val="0"/>
              <w:spacing w:before="0" w:beforeAutospacing="0" w:after="0" w:afterAutospacing="0"/>
              <w:ind w:right="0"/>
              <w:rPr>
                <w:rFonts w:hint="default"/>
                <w:color w:val="auto"/>
              </w:rPr>
            </w:pPr>
          </w:p>
          <w:p w14:paraId="176B896C">
            <w:pPr>
              <w:pStyle w:val="4"/>
              <w:keepNext w:val="0"/>
              <w:keepLines w:val="0"/>
              <w:suppressLineNumbers w:val="0"/>
              <w:spacing w:before="0" w:beforeAutospacing="0" w:after="0" w:afterAutospacing="0"/>
              <w:ind w:right="0"/>
              <w:rPr>
                <w:rFonts w:hint="default"/>
                <w:color w:val="auto"/>
              </w:rPr>
            </w:pPr>
          </w:p>
          <w:p w14:paraId="505EF5EB">
            <w:pPr>
              <w:pStyle w:val="4"/>
              <w:keepNext w:val="0"/>
              <w:keepLines w:val="0"/>
              <w:suppressLineNumbers w:val="0"/>
              <w:spacing w:before="0" w:beforeAutospacing="0" w:after="0" w:afterAutospacing="0"/>
              <w:ind w:right="0"/>
              <w:rPr>
                <w:rFonts w:hint="default"/>
                <w:color w:val="auto"/>
              </w:rPr>
            </w:pPr>
          </w:p>
          <w:p w14:paraId="75364CAC">
            <w:pPr>
              <w:pStyle w:val="4"/>
              <w:keepNext w:val="0"/>
              <w:keepLines w:val="0"/>
              <w:suppressLineNumbers w:val="0"/>
              <w:spacing w:before="0" w:beforeAutospacing="0" w:after="0" w:afterAutospacing="0"/>
              <w:ind w:right="0"/>
              <w:rPr>
                <w:rFonts w:hint="default"/>
                <w:color w:val="auto"/>
              </w:rPr>
            </w:pPr>
          </w:p>
          <w:p w14:paraId="702A0ADE">
            <w:pPr>
              <w:pStyle w:val="4"/>
              <w:keepNext w:val="0"/>
              <w:keepLines w:val="0"/>
              <w:suppressLineNumbers w:val="0"/>
              <w:spacing w:before="0" w:beforeAutospacing="0" w:after="0" w:afterAutospacing="0"/>
              <w:ind w:right="0"/>
              <w:rPr>
                <w:rFonts w:hint="default"/>
                <w:color w:val="auto"/>
              </w:rPr>
            </w:pPr>
          </w:p>
          <w:p w14:paraId="2DB94FFF">
            <w:pPr>
              <w:pStyle w:val="4"/>
              <w:keepNext w:val="0"/>
              <w:keepLines w:val="0"/>
              <w:suppressLineNumbers w:val="0"/>
              <w:spacing w:before="0" w:beforeAutospacing="0" w:after="0" w:afterAutospacing="0"/>
              <w:ind w:right="0"/>
              <w:rPr>
                <w:rFonts w:hint="default"/>
                <w:color w:val="auto"/>
              </w:rPr>
            </w:pPr>
          </w:p>
          <w:p w14:paraId="2C705532">
            <w:pPr>
              <w:pStyle w:val="4"/>
              <w:keepNext w:val="0"/>
              <w:keepLines w:val="0"/>
              <w:suppressLineNumbers w:val="0"/>
              <w:spacing w:before="0" w:beforeAutospacing="0" w:after="0" w:afterAutospacing="0"/>
              <w:ind w:right="0"/>
              <w:rPr>
                <w:rFonts w:hint="default"/>
                <w:color w:val="auto"/>
              </w:rPr>
            </w:pPr>
          </w:p>
          <w:p w14:paraId="1CE2512C">
            <w:pPr>
              <w:pStyle w:val="4"/>
              <w:keepNext w:val="0"/>
              <w:keepLines w:val="0"/>
              <w:suppressLineNumbers w:val="0"/>
              <w:spacing w:before="0" w:beforeAutospacing="0" w:after="0" w:afterAutospacing="0"/>
              <w:ind w:right="0"/>
              <w:rPr>
                <w:rFonts w:hint="default"/>
                <w:color w:val="auto"/>
              </w:rPr>
            </w:pPr>
          </w:p>
          <w:p w14:paraId="37CC58BD">
            <w:pPr>
              <w:pStyle w:val="4"/>
              <w:keepNext w:val="0"/>
              <w:keepLines w:val="0"/>
              <w:suppressLineNumbers w:val="0"/>
              <w:spacing w:before="0" w:beforeAutospacing="0" w:after="0" w:afterAutospacing="0"/>
              <w:ind w:right="0"/>
              <w:rPr>
                <w:rFonts w:hint="default"/>
                <w:color w:val="auto"/>
              </w:rPr>
            </w:pPr>
          </w:p>
          <w:p w14:paraId="5A3B36ED">
            <w:pPr>
              <w:pStyle w:val="4"/>
              <w:keepNext w:val="0"/>
              <w:keepLines w:val="0"/>
              <w:suppressLineNumbers w:val="0"/>
              <w:spacing w:before="0" w:beforeAutospacing="0" w:after="0" w:afterAutospacing="0"/>
              <w:ind w:right="0"/>
              <w:rPr>
                <w:rFonts w:hint="default"/>
                <w:color w:val="auto"/>
              </w:rPr>
            </w:pPr>
          </w:p>
          <w:p w14:paraId="051AF6C5">
            <w:pPr>
              <w:pStyle w:val="4"/>
              <w:keepNext w:val="0"/>
              <w:keepLines w:val="0"/>
              <w:suppressLineNumbers w:val="0"/>
              <w:spacing w:before="0" w:beforeAutospacing="0" w:after="0" w:afterAutospacing="0"/>
              <w:ind w:right="0"/>
              <w:rPr>
                <w:rFonts w:hint="default"/>
                <w:color w:val="auto"/>
              </w:rPr>
            </w:pPr>
          </w:p>
          <w:p w14:paraId="1D6C20F6">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38C9EF3B">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6D19E29E">
            <w:pPr>
              <w:pStyle w:val="2"/>
              <w:keepNext w:val="0"/>
              <w:keepLines w:val="0"/>
              <w:suppressLineNumbers w:val="0"/>
              <w:spacing w:before="0" w:beforeAutospacing="0" w:afterAutospacing="0"/>
              <w:ind w:right="0"/>
              <w:rPr>
                <w:rFonts w:hint="default"/>
                <w:color w:val="auto"/>
              </w:rPr>
            </w:pPr>
          </w:p>
          <w:p w14:paraId="12989FEE">
            <w:pPr>
              <w:pStyle w:val="3"/>
              <w:keepNext w:val="0"/>
              <w:keepLines w:val="0"/>
              <w:suppressLineNumbers w:val="0"/>
              <w:spacing w:before="0" w:beforeAutospacing="0" w:after="0" w:afterAutospacing="0"/>
              <w:ind w:left="0" w:right="0"/>
              <w:rPr>
                <w:rFonts w:hint="default"/>
                <w:color w:val="auto"/>
              </w:rPr>
            </w:pPr>
          </w:p>
          <w:p w14:paraId="1716B1A8">
            <w:pPr>
              <w:pStyle w:val="4"/>
              <w:keepNext w:val="0"/>
              <w:keepLines w:val="0"/>
              <w:suppressLineNumbers w:val="0"/>
              <w:spacing w:before="0" w:beforeAutospacing="0" w:after="0" w:afterAutospacing="0"/>
              <w:ind w:right="0"/>
              <w:rPr>
                <w:rFonts w:hint="default"/>
                <w:color w:val="auto"/>
              </w:rPr>
            </w:pPr>
          </w:p>
          <w:p w14:paraId="1A345F08">
            <w:pPr>
              <w:pStyle w:val="4"/>
              <w:keepNext w:val="0"/>
              <w:keepLines w:val="0"/>
              <w:suppressLineNumbers w:val="0"/>
              <w:spacing w:before="0" w:beforeAutospacing="0" w:after="0" w:afterAutospacing="0"/>
              <w:ind w:right="0"/>
              <w:rPr>
                <w:rFonts w:hint="default"/>
                <w:color w:val="auto"/>
              </w:rPr>
            </w:pPr>
          </w:p>
          <w:p w14:paraId="312836E5">
            <w:pPr>
              <w:pStyle w:val="4"/>
              <w:keepNext w:val="0"/>
              <w:keepLines w:val="0"/>
              <w:suppressLineNumbers w:val="0"/>
              <w:spacing w:before="0" w:beforeAutospacing="0" w:after="0" w:afterAutospacing="0"/>
              <w:ind w:right="0"/>
              <w:rPr>
                <w:rFonts w:hint="default"/>
                <w:color w:val="auto"/>
              </w:rPr>
            </w:pPr>
          </w:p>
          <w:p w14:paraId="45976513">
            <w:pPr>
              <w:pStyle w:val="4"/>
              <w:keepNext w:val="0"/>
              <w:keepLines w:val="0"/>
              <w:suppressLineNumbers w:val="0"/>
              <w:spacing w:before="0" w:beforeAutospacing="0" w:after="0" w:afterAutospacing="0"/>
              <w:ind w:right="0"/>
              <w:rPr>
                <w:rFonts w:hint="default"/>
                <w:color w:val="auto"/>
              </w:rPr>
            </w:pPr>
          </w:p>
          <w:p w14:paraId="2282D99A">
            <w:pPr>
              <w:pStyle w:val="4"/>
              <w:keepNext w:val="0"/>
              <w:keepLines w:val="0"/>
              <w:suppressLineNumbers w:val="0"/>
              <w:spacing w:before="0" w:beforeAutospacing="0" w:after="0" w:afterAutospacing="0"/>
              <w:ind w:right="0"/>
              <w:rPr>
                <w:rFonts w:hint="default"/>
                <w:color w:val="auto"/>
              </w:rPr>
            </w:pPr>
          </w:p>
          <w:p w14:paraId="2E32BB82">
            <w:pPr>
              <w:pStyle w:val="4"/>
              <w:keepNext w:val="0"/>
              <w:keepLines w:val="0"/>
              <w:suppressLineNumbers w:val="0"/>
              <w:spacing w:before="0" w:beforeAutospacing="0" w:after="0" w:afterAutospacing="0"/>
              <w:ind w:right="0"/>
              <w:rPr>
                <w:rFonts w:hint="default"/>
                <w:color w:val="auto"/>
              </w:rPr>
            </w:pPr>
          </w:p>
          <w:p w14:paraId="4A1E0DC7">
            <w:pPr>
              <w:pStyle w:val="4"/>
              <w:keepNext w:val="0"/>
              <w:keepLines w:val="0"/>
              <w:suppressLineNumbers w:val="0"/>
              <w:spacing w:before="0" w:beforeAutospacing="0" w:after="0" w:afterAutospacing="0"/>
              <w:ind w:right="0"/>
              <w:rPr>
                <w:rFonts w:hint="default"/>
                <w:color w:val="auto"/>
              </w:rPr>
            </w:pPr>
          </w:p>
          <w:p w14:paraId="52BF184B">
            <w:pPr>
              <w:pStyle w:val="4"/>
              <w:keepNext w:val="0"/>
              <w:keepLines w:val="0"/>
              <w:suppressLineNumbers w:val="0"/>
              <w:spacing w:before="0" w:beforeAutospacing="0" w:after="0" w:afterAutospacing="0"/>
              <w:ind w:right="0"/>
              <w:rPr>
                <w:rFonts w:hint="default"/>
                <w:color w:val="auto"/>
              </w:rPr>
            </w:pPr>
          </w:p>
          <w:p w14:paraId="35F014A9">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14:paraId="7C807C88">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14:paraId="555BE3DD">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14:paraId="6CD5D8B4">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14:paraId="0CF8AA86">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14:paraId="5BA08FBE">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14:paraId="52655D3E">
            <w:pPr>
              <w:pStyle w:val="2"/>
              <w:keepNext w:val="0"/>
              <w:keepLines w:val="0"/>
              <w:suppressLineNumbers w:val="0"/>
              <w:spacing w:before="0" w:beforeAutospacing="0" w:afterAutospacing="0"/>
              <w:ind w:right="0"/>
              <w:rPr>
                <w:rFonts w:hint="default"/>
                <w:color w:val="auto"/>
              </w:rPr>
            </w:pPr>
          </w:p>
          <w:p w14:paraId="41921B91">
            <w:pPr>
              <w:pStyle w:val="4"/>
              <w:keepNext w:val="0"/>
              <w:keepLines w:val="0"/>
              <w:suppressLineNumbers w:val="0"/>
              <w:spacing w:before="0" w:beforeAutospacing="0" w:after="0" w:afterAutospacing="0"/>
              <w:ind w:right="0"/>
              <w:rPr>
                <w:rFonts w:hint="default"/>
                <w:color w:val="auto"/>
              </w:rPr>
            </w:pPr>
          </w:p>
          <w:p w14:paraId="253D8865">
            <w:pPr>
              <w:pStyle w:val="4"/>
              <w:keepNext w:val="0"/>
              <w:keepLines w:val="0"/>
              <w:suppressLineNumbers w:val="0"/>
              <w:spacing w:before="0" w:beforeAutospacing="0" w:after="0" w:afterAutospacing="0"/>
              <w:ind w:right="0"/>
              <w:rPr>
                <w:rFonts w:hint="default"/>
                <w:color w:val="auto"/>
              </w:rPr>
            </w:pPr>
          </w:p>
          <w:p w14:paraId="5A9282DA">
            <w:pPr>
              <w:pStyle w:val="4"/>
              <w:keepNext w:val="0"/>
              <w:keepLines w:val="0"/>
              <w:suppressLineNumbers w:val="0"/>
              <w:spacing w:before="0" w:beforeAutospacing="0" w:after="0" w:afterAutospacing="0"/>
              <w:ind w:right="0"/>
              <w:rPr>
                <w:rFonts w:hint="default"/>
                <w:color w:val="auto"/>
              </w:rPr>
            </w:pPr>
          </w:p>
          <w:p w14:paraId="54F23946">
            <w:pPr>
              <w:pStyle w:val="4"/>
              <w:keepNext w:val="0"/>
              <w:keepLines w:val="0"/>
              <w:suppressLineNumbers w:val="0"/>
              <w:spacing w:before="0" w:beforeAutospacing="0" w:after="0" w:afterAutospacing="0"/>
              <w:ind w:right="0"/>
              <w:rPr>
                <w:rFonts w:hint="default"/>
                <w:color w:val="auto"/>
              </w:rPr>
            </w:pPr>
          </w:p>
          <w:p w14:paraId="569CB746">
            <w:pPr>
              <w:pStyle w:val="4"/>
              <w:keepNext w:val="0"/>
              <w:keepLines w:val="0"/>
              <w:suppressLineNumbers w:val="0"/>
              <w:spacing w:before="0" w:beforeAutospacing="0" w:after="0" w:afterAutospacing="0"/>
              <w:ind w:right="0"/>
              <w:rPr>
                <w:rFonts w:hint="default"/>
                <w:color w:val="auto"/>
              </w:rPr>
            </w:pPr>
          </w:p>
          <w:p w14:paraId="0ECFF0A8">
            <w:pPr>
              <w:pStyle w:val="4"/>
              <w:keepNext w:val="0"/>
              <w:keepLines w:val="0"/>
              <w:suppressLineNumbers w:val="0"/>
              <w:spacing w:before="0" w:beforeAutospacing="0" w:after="0" w:afterAutospacing="0"/>
              <w:ind w:right="0"/>
              <w:rPr>
                <w:rFonts w:hint="default"/>
                <w:color w:val="auto"/>
              </w:rPr>
            </w:pPr>
          </w:p>
          <w:p w14:paraId="496607E3">
            <w:pPr>
              <w:pStyle w:val="4"/>
              <w:keepNext w:val="0"/>
              <w:keepLines w:val="0"/>
              <w:suppressLineNumbers w:val="0"/>
              <w:spacing w:before="0" w:beforeAutospacing="0" w:after="0" w:afterAutospacing="0"/>
              <w:ind w:right="0"/>
              <w:rPr>
                <w:rFonts w:hint="default"/>
                <w:color w:val="auto"/>
              </w:rPr>
            </w:pPr>
          </w:p>
          <w:p w14:paraId="750C5AE4">
            <w:pPr>
              <w:pStyle w:val="4"/>
              <w:keepNext w:val="0"/>
              <w:keepLines w:val="0"/>
              <w:suppressLineNumbers w:val="0"/>
              <w:spacing w:before="0" w:beforeAutospacing="0" w:after="0" w:afterAutospacing="0"/>
              <w:ind w:right="0"/>
              <w:rPr>
                <w:rFonts w:hint="default"/>
                <w:color w:val="auto"/>
              </w:rPr>
            </w:pPr>
          </w:p>
          <w:p w14:paraId="1EF7DF17">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344C7AFC">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14FC74D9">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76C5AC46">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28AD4EA5">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71809CC4">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125F06A8">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4316AEA5">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79C69F7D">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4AB76563">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7D24BF22">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62209E30">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23E23626">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6954FE2D">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44039D94">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44915686">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531514C7">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0642885A">
            <w:pPr>
              <w:pStyle w:val="2"/>
              <w:keepNext w:val="0"/>
              <w:keepLines w:val="0"/>
              <w:suppressLineNumbers w:val="0"/>
              <w:spacing w:before="0" w:beforeAutospacing="0" w:afterAutospacing="0"/>
              <w:ind w:right="0"/>
              <w:rPr>
                <w:rFonts w:hint="default"/>
                <w:color w:val="auto"/>
              </w:rPr>
            </w:pPr>
          </w:p>
          <w:p w14:paraId="460A7A38">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2C642811">
            <w:pPr>
              <w:pStyle w:val="2"/>
              <w:keepNext w:val="0"/>
              <w:keepLines w:val="0"/>
              <w:suppressLineNumbers w:val="0"/>
              <w:spacing w:before="0" w:beforeAutospacing="0" w:afterAutospacing="0"/>
              <w:ind w:right="0"/>
              <w:rPr>
                <w:rFonts w:hint="default"/>
                <w:color w:val="auto"/>
              </w:rPr>
            </w:pPr>
          </w:p>
          <w:p w14:paraId="1FF5B9C9">
            <w:pPr>
              <w:pStyle w:val="3"/>
              <w:keepNext w:val="0"/>
              <w:keepLines w:val="0"/>
              <w:suppressLineNumbers w:val="0"/>
              <w:spacing w:before="0" w:beforeAutospacing="0" w:after="0" w:afterAutospacing="0"/>
              <w:ind w:left="0" w:right="0"/>
              <w:rPr>
                <w:rFonts w:hint="default"/>
                <w:color w:val="auto"/>
              </w:rPr>
            </w:pPr>
          </w:p>
          <w:p w14:paraId="2F8B6C1E">
            <w:pPr>
              <w:pStyle w:val="4"/>
              <w:keepNext w:val="0"/>
              <w:keepLines w:val="0"/>
              <w:suppressLineNumbers w:val="0"/>
              <w:spacing w:before="0" w:beforeAutospacing="0" w:after="0" w:afterAutospacing="0"/>
              <w:ind w:right="0"/>
              <w:rPr>
                <w:rFonts w:hint="default"/>
                <w:color w:val="auto"/>
              </w:rPr>
            </w:pPr>
          </w:p>
          <w:p w14:paraId="71E93172">
            <w:pPr>
              <w:pStyle w:val="4"/>
              <w:keepNext w:val="0"/>
              <w:keepLines w:val="0"/>
              <w:suppressLineNumbers w:val="0"/>
              <w:spacing w:before="0" w:beforeAutospacing="0" w:after="0" w:afterAutospacing="0"/>
              <w:ind w:right="0"/>
              <w:rPr>
                <w:rFonts w:hint="default"/>
                <w:color w:val="auto"/>
              </w:rPr>
            </w:pPr>
          </w:p>
          <w:p w14:paraId="5D624915">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3097BCB7">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7D00754C">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14:paraId="1F4A4A46">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14:paraId="596C7AD2">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14:paraId="2ACF9BFA">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14:paraId="3FCB9E1E">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14:paraId="55F49FB7">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14:paraId="207E757B">
            <w:pPr>
              <w:pStyle w:val="2"/>
              <w:keepNext w:val="0"/>
              <w:keepLines w:val="0"/>
              <w:suppressLineNumbers w:val="0"/>
              <w:spacing w:before="0" w:beforeAutospacing="0" w:afterAutospacing="0"/>
              <w:ind w:right="0"/>
              <w:rPr>
                <w:rFonts w:hint="default"/>
                <w:color w:val="auto"/>
              </w:rPr>
            </w:pPr>
          </w:p>
          <w:p w14:paraId="73441CFD">
            <w:pPr>
              <w:pStyle w:val="4"/>
              <w:keepNext w:val="0"/>
              <w:keepLines w:val="0"/>
              <w:suppressLineNumbers w:val="0"/>
              <w:spacing w:before="0" w:beforeAutospacing="0" w:after="0" w:afterAutospacing="0"/>
              <w:ind w:right="0"/>
              <w:rPr>
                <w:rFonts w:hint="default"/>
                <w:color w:val="auto"/>
              </w:rPr>
            </w:pPr>
          </w:p>
          <w:p w14:paraId="3ABF0D5C">
            <w:pPr>
              <w:pStyle w:val="4"/>
              <w:keepNext w:val="0"/>
              <w:keepLines w:val="0"/>
              <w:suppressLineNumbers w:val="0"/>
              <w:spacing w:before="0" w:beforeAutospacing="0" w:after="0" w:afterAutospacing="0"/>
              <w:ind w:right="0"/>
              <w:rPr>
                <w:rFonts w:hint="default"/>
                <w:color w:val="auto"/>
              </w:rPr>
            </w:pPr>
          </w:p>
          <w:p w14:paraId="7A649EFB">
            <w:pPr>
              <w:pStyle w:val="4"/>
              <w:keepNext w:val="0"/>
              <w:keepLines w:val="0"/>
              <w:suppressLineNumbers w:val="0"/>
              <w:spacing w:before="0" w:beforeAutospacing="0" w:after="0" w:afterAutospacing="0"/>
              <w:ind w:right="0"/>
              <w:rPr>
                <w:rFonts w:hint="default"/>
                <w:color w:val="auto"/>
              </w:rPr>
            </w:pPr>
          </w:p>
          <w:p w14:paraId="43083AA2">
            <w:pPr>
              <w:pStyle w:val="4"/>
              <w:keepNext w:val="0"/>
              <w:keepLines w:val="0"/>
              <w:suppressLineNumbers w:val="0"/>
              <w:spacing w:before="0" w:beforeAutospacing="0" w:after="0" w:afterAutospacing="0"/>
              <w:ind w:right="0"/>
              <w:rPr>
                <w:rFonts w:hint="default"/>
                <w:color w:val="auto"/>
              </w:rPr>
            </w:pPr>
          </w:p>
          <w:p w14:paraId="5DF944D9">
            <w:pPr>
              <w:pStyle w:val="4"/>
              <w:keepNext w:val="0"/>
              <w:keepLines w:val="0"/>
              <w:suppressLineNumbers w:val="0"/>
              <w:spacing w:before="0" w:beforeAutospacing="0" w:after="0" w:afterAutospacing="0"/>
              <w:ind w:right="0"/>
              <w:rPr>
                <w:rFonts w:hint="default"/>
                <w:color w:val="auto"/>
              </w:rPr>
            </w:pPr>
          </w:p>
          <w:p w14:paraId="47FE6DA3">
            <w:pPr>
              <w:pStyle w:val="4"/>
              <w:keepNext w:val="0"/>
              <w:keepLines w:val="0"/>
              <w:suppressLineNumbers w:val="0"/>
              <w:spacing w:before="0" w:beforeAutospacing="0" w:after="0" w:afterAutospacing="0"/>
              <w:ind w:right="0"/>
              <w:rPr>
                <w:rFonts w:hint="default"/>
                <w:color w:val="auto"/>
              </w:rPr>
            </w:pPr>
          </w:p>
          <w:p w14:paraId="327CE2AD">
            <w:pPr>
              <w:pStyle w:val="4"/>
              <w:keepNext w:val="0"/>
              <w:keepLines w:val="0"/>
              <w:suppressLineNumbers w:val="0"/>
              <w:spacing w:before="0" w:beforeAutospacing="0" w:after="0" w:afterAutospacing="0"/>
              <w:ind w:right="0"/>
              <w:rPr>
                <w:rFonts w:hint="default"/>
                <w:color w:val="auto"/>
              </w:rPr>
            </w:pPr>
          </w:p>
          <w:p w14:paraId="16C15784">
            <w:pPr>
              <w:pStyle w:val="4"/>
              <w:keepNext w:val="0"/>
              <w:keepLines w:val="0"/>
              <w:suppressLineNumbers w:val="0"/>
              <w:spacing w:before="0" w:beforeAutospacing="0" w:after="0" w:afterAutospacing="0"/>
              <w:ind w:right="0"/>
              <w:rPr>
                <w:rFonts w:hint="default"/>
                <w:color w:val="auto"/>
              </w:rPr>
            </w:pPr>
          </w:p>
          <w:p w14:paraId="09567D09">
            <w:pPr>
              <w:pStyle w:val="4"/>
              <w:keepNext w:val="0"/>
              <w:keepLines w:val="0"/>
              <w:suppressLineNumbers w:val="0"/>
              <w:spacing w:before="0" w:beforeAutospacing="0" w:after="0" w:afterAutospacing="0"/>
              <w:ind w:right="0"/>
              <w:rPr>
                <w:rFonts w:hint="default"/>
                <w:color w:val="auto"/>
              </w:rPr>
            </w:pPr>
          </w:p>
          <w:p w14:paraId="50221D16">
            <w:pPr>
              <w:pStyle w:val="4"/>
              <w:keepNext w:val="0"/>
              <w:keepLines w:val="0"/>
              <w:suppressLineNumbers w:val="0"/>
              <w:spacing w:before="0" w:beforeAutospacing="0" w:after="0" w:afterAutospacing="0"/>
              <w:ind w:right="0"/>
              <w:rPr>
                <w:rFonts w:hint="default"/>
                <w:color w:val="auto"/>
              </w:rPr>
            </w:pPr>
          </w:p>
          <w:p w14:paraId="293E09A2">
            <w:pPr>
              <w:pStyle w:val="4"/>
              <w:keepNext w:val="0"/>
              <w:keepLines w:val="0"/>
              <w:suppressLineNumbers w:val="0"/>
              <w:spacing w:before="0" w:beforeAutospacing="0" w:after="0" w:afterAutospacing="0"/>
              <w:ind w:right="0"/>
              <w:rPr>
                <w:rFonts w:hint="default"/>
                <w:color w:val="auto"/>
              </w:rPr>
            </w:pPr>
          </w:p>
          <w:p w14:paraId="4C7F3398">
            <w:pPr>
              <w:pStyle w:val="4"/>
              <w:keepNext w:val="0"/>
              <w:keepLines w:val="0"/>
              <w:suppressLineNumbers w:val="0"/>
              <w:spacing w:before="0" w:beforeAutospacing="0" w:after="0" w:afterAutospacing="0"/>
              <w:ind w:right="0"/>
              <w:rPr>
                <w:rFonts w:hint="default"/>
                <w:color w:val="auto"/>
              </w:rPr>
            </w:pPr>
          </w:p>
          <w:p w14:paraId="78F4616F">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69DFE313">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1A27B31D">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36F77B5F">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68028564">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759CBAFE">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26B8A949">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4EC1651B">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331796C1">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128F2256">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4A4C8DA7">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5551F224">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1A583599">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733D583B">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1720A585">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37444209">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398DB1C8">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5D1E70D4">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2DFFDFF1">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64EF1A60">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518C88BC">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14:paraId="2C9A330D">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14:paraId="3C75798A">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14:paraId="0BF8E67D">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14:paraId="6FBC216E">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14:paraId="46A06941">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14:paraId="6DB5102A">
            <w:pPr>
              <w:pStyle w:val="2"/>
              <w:keepNext w:val="0"/>
              <w:keepLines w:val="0"/>
              <w:suppressLineNumbers w:val="0"/>
              <w:spacing w:before="0" w:beforeAutospacing="0" w:afterAutospacing="0"/>
              <w:ind w:right="0"/>
              <w:rPr>
                <w:rFonts w:hint="default"/>
                <w:color w:val="auto"/>
              </w:rPr>
            </w:pPr>
          </w:p>
          <w:p w14:paraId="042400F0">
            <w:pPr>
              <w:pStyle w:val="4"/>
              <w:keepNext w:val="0"/>
              <w:keepLines w:val="0"/>
              <w:suppressLineNumbers w:val="0"/>
              <w:spacing w:before="0" w:beforeAutospacing="0" w:after="0" w:afterAutospacing="0"/>
              <w:ind w:right="0"/>
              <w:rPr>
                <w:rFonts w:hint="default"/>
                <w:color w:val="auto"/>
              </w:rPr>
            </w:pPr>
          </w:p>
          <w:p w14:paraId="591BBBFF">
            <w:pPr>
              <w:pStyle w:val="4"/>
              <w:keepNext w:val="0"/>
              <w:keepLines w:val="0"/>
              <w:suppressLineNumbers w:val="0"/>
              <w:spacing w:before="0" w:beforeAutospacing="0" w:after="0" w:afterAutospacing="0"/>
              <w:ind w:right="0"/>
              <w:rPr>
                <w:rFonts w:hint="default"/>
                <w:color w:val="auto"/>
              </w:rPr>
            </w:pPr>
          </w:p>
          <w:p w14:paraId="6769AEA0">
            <w:pPr>
              <w:pStyle w:val="4"/>
              <w:keepNext w:val="0"/>
              <w:keepLines w:val="0"/>
              <w:suppressLineNumbers w:val="0"/>
              <w:spacing w:before="0" w:beforeAutospacing="0" w:after="0" w:afterAutospacing="0"/>
              <w:ind w:right="0"/>
              <w:rPr>
                <w:rFonts w:hint="default"/>
                <w:color w:val="auto"/>
              </w:rPr>
            </w:pPr>
          </w:p>
          <w:p w14:paraId="52174946">
            <w:pPr>
              <w:pStyle w:val="4"/>
              <w:keepNext w:val="0"/>
              <w:keepLines w:val="0"/>
              <w:suppressLineNumbers w:val="0"/>
              <w:spacing w:before="0" w:beforeAutospacing="0" w:after="0" w:afterAutospacing="0"/>
              <w:ind w:right="0"/>
              <w:rPr>
                <w:rFonts w:hint="default"/>
                <w:color w:val="auto"/>
              </w:rPr>
            </w:pPr>
          </w:p>
          <w:p w14:paraId="58A46890">
            <w:pPr>
              <w:pStyle w:val="4"/>
              <w:keepNext w:val="0"/>
              <w:keepLines w:val="0"/>
              <w:suppressLineNumbers w:val="0"/>
              <w:spacing w:before="0" w:beforeAutospacing="0" w:after="0" w:afterAutospacing="0"/>
              <w:ind w:right="0"/>
              <w:rPr>
                <w:rFonts w:hint="default"/>
                <w:color w:val="auto"/>
              </w:rPr>
            </w:pPr>
          </w:p>
          <w:p w14:paraId="2EAB79D7">
            <w:pPr>
              <w:pStyle w:val="4"/>
              <w:keepNext w:val="0"/>
              <w:keepLines w:val="0"/>
              <w:suppressLineNumbers w:val="0"/>
              <w:spacing w:before="0" w:beforeAutospacing="0" w:after="0" w:afterAutospacing="0"/>
              <w:ind w:right="0"/>
              <w:rPr>
                <w:rFonts w:hint="default"/>
                <w:color w:val="auto"/>
              </w:rPr>
            </w:pPr>
          </w:p>
          <w:p w14:paraId="0A549086">
            <w:pPr>
              <w:pStyle w:val="4"/>
              <w:keepNext w:val="0"/>
              <w:keepLines w:val="0"/>
              <w:suppressLineNumbers w:val="0"/>
              <w:spacing w:before="0" w:beforeAutospacing="0" w:after="0" w:afterAutospacing="0"/>
              <w:ind w:right="0"/>
              <w:rPr>
                <w:rFonts w:hint="default"/>
                <w:color w:val="auto"/>
              </w:rPr>
            </w:pPr>
          </w:p>
          <w:p w14:paraId="037348DC">
            <w:pPr>
              <w:pStyle w:val="4"/>
              <w:keepNext w:val="0"/>
              <w:keepLines w:val="0"/>
              <w:suppressLineNumbers w:val="0"/>
              <w:spacing w:before="0" w:beforeAutospacing="0" w:after="0" w:afterAutospacing="0"/>
              <w:ind w:right="0"/>
              <w:rPr>
                <w:rFonts w:hint="default"/>
                <w:color w:val="auto"/>
              </w:rPr>
            </w:pPr>
          </w:p>
          <w:p w14:paraId="3FEBBB54">
            <w:pPr>
              <w:pStyle w:val="4"/>
              <w:keepNext w:val="0"/>
              <w:keepLines w:val="0"/>
              <w:suppressLineNumbers w:val="0"/>
              <w:spacing w:before="0" w:beforeAutospacing="0" w:after="0" w:afterAutospacing="0"/>
              <w:ind w:right="0"/>
              <w:rPr>
                <w:rFonts w:hint="default"/>
                <w:color w:val="auto"/>
              </w:rPr>
            </w:pPr>
          </w:p>
          <w:p w14:paraId="1417C73E">
            <w:pPr>
              <w:pStyle w:val="4"/>
              <w:keepNext w:val="0"/>
              <w:keepLines w:val="0"/>
              <w:suppressLineNumbers w:val="0"/>
              <w:spacing w:before="0" w:beforeAutospacing="0" w:after="0" w:afterAutospacing="0"/>
              <w:ind w:right="0"/>
              <w:rPr>
                <w:rFonts w:hint="default"/>
                <w:color w:val="auto"/>
              </w:rPr>
            </w:pPr>
          </w:p>
          <w:p w14:paraId="6B512775">
            <w:pPr>
              <w:pStyle w:val="4"/>
              <w:keepNext w:val="0"/>
              <w:keepLines w:val="0"/>
              <w:suppressLineNumbers w:val="0"/>
              <w:spacing w:before="0" w:beforeAutospacing="0" w:after="0" w:afterAutospacing="0"/>
              <w:ind w:right="0"/>
              <w:rPr>
                <w:rFonts w:hint="default"/>
                <w:color w:val="auto"/>
              </w:rPr>
            </w:pPr>
          </w:p>
          <w:p w14:paraId="7C6BA8E1">
            <w:pPr>
              <w:pStyle w:val="4"/>
              <w:keepNext w:val="0"/>
              <w:keepLines w:val="0"/>
              <w:suppressLineNumbers w:val="0"/>
              <w:spacing w:before="0" w:beforeAutospacing="0" w:after="0" w:afterAutospacing="0"/>
              <w:ind w:right="0"/>
              <w:rPr>
                <w:rFonts w:hint="default"/>
                <w:color w:val="auto"/>
              </w:rPr>
            </w:pPr>
          </w:p>
          <w:p w14:paraId="330AA6E1">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77A23253">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76D3EE43">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1C314A8D">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46FCA5E2">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39647172">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169F7F3F">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70413F49">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441873C9">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404C1F80">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76DA1FA5">
            <w:pPr>
              <w:pStyle w:val="3"/>
              <w:keepNext w:val="0"/>
              <w:keepLines w:val="0"/>
              <w:suppressLineNumbers w:val="0"/>
              <w:spacing w:before="0" w:beforeAutospacing="0" w:after="0" w:afterAutospacing="0"/>
              <w:ind w:left="0" w:right="0"/>
              <w:rPr>
                <w:rFonts w:hint="default"/>
                <w:color w:val="auto"/>
              </w:rPr>
            </w:pPr>
          </w:p>
          <w:p w14:paraId="06FC3ED1">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2B653881">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0A7248DB">
            <w:pPr>
              <w:pStyle w:val="2"/>
              <w:keepNext w:val="0"/>
              <w:keepLines w:val="0"/>
              <w:suppressLineNumbers w:val="0"/>
              <w:spacing w:before="0" w:beforeAutospacing="0" w:afterAutospacing="0"/>
              <w:ind w:right="0"/>
              <w:rPr>
                <w:rFonts w:hint="default"/>
                <w:color w:val="auto"/>
              </w:rPr>
            </w:pPr>
          </w:p>
          <w:p w14:paraId="265C0763">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7BE267D8">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44A5F083">
            <w:pPr>
              <w:pStyle w:val="2"/>
              <w:keepNext w:val="0"/>
              <w:keepLines w:val="0"/>
              <w:suppressLineNumbers w:val="0"/>
              <w:spacing w:before="0" w:beforeAutospacing="0" w:afterAutospacing="0"/>
              <w:ind w:right="0"/>
              <w:rPr>
                <w:rFonts w:hint="default" w:cs="宋体"/>
                <w:bCs/>
                <w:color w:val="auto"/>
                <w:szCs w:val="21"/>
              </w:rPr>
            </w:pPr>
          </w:p>
          <w:p w14:paraId="065D3DA2">
            <w:pPr>
              <w:pStyle w:val="3"/>
              <w:keepNext w:val="0"/>
              <w:keepLines w:val="0"/>
              <w:suppressLineNumbers w:val="0"/>
              <w:spacing w:before="0" w:beforeAutospacing="0" w:after="0" w:afterAutospacing="0"/>
              <w:ind w:left="0" w:right="0"/>
              <w:rPr>
                <w:rFonts w:hint="default" w:cs="宋体"/>
                <w:bCs/>
                <w:color w:val="auto"/>
                <w:szCs w:val="21"/>
              </w:rPr>
            </w:pPr>
          </w:p>
          <w:p w14:paraId="79F4005A">
            <w:pPr>
              <w:pStyle w:val="4"/>
              <w:keepNext w:val="0"/>
              <w:keepLines w:val="0"/>
              <w:suppressLineNumbers w:val="0"/>
              <w:spacing w:before="0" w:beforeAutospacing="0" w:after="0" w:afterAutospacing="0"/>
              <w:ind w:right="0"/>
              <w:rPr>
                <w:rFonts w:hint="default"/>
                <w:color w:val="auto"/>
              </w:rPr>
            </w:pPr>
          </w:p>
          <w:p w14:paraId="40B803BA">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14:paraId="233163B4">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14:paraId="73C5E4AA">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14:paraId="631D3AFB">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14:paraId="249481DE">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14:paraId="6948FFCD">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14:paraId="2BA83B58">
            <w:pPr>
              <w:pStyle w:val="2"/>
              <w:keepNext w:val="0"/>
              <w:keepLines w:val="0"/>
              <w:suppressLineNumbers w:val="0"/>
              <w:spacing w:before="0" w:beforeAutospacing="0" w:afterAutospacing="0"/>
              <w:ind w:right="0"/>
              <w:rPr>
                <w:rFonts w:hint="default"/>
                <w:color w:val="auto"/>
              </w:rPr>
            </w:pPr>
          </w:p>
          <w:p w14:paraId="04575D80">
            <w:pPr>
              <w:pStyle w:val="4"/>
              <w:keepNext w:val="0"/>
              <w:keepLines w:val="0"/>
              <w:suppressLineNumbers w:val="0"/>
              <w:spacing w:before="0" w:beforeAutospacing="0" w:after="0" w:afterAutospacing="0"/>
              <w:ind w:right="0"/>
              <w:rPr>
                <w:rFonts w:hint="default"/>
                <w:color w:val="auto"/>
              </w:rPr>
            </w:pPr>
          </w:p>
          <w:p w14:paraId="771D0F60">
            <w:pPr>
              <w:pStyle w:val="4"/>
              <w:keepNext w:val="0"/>
              <w:keepLines w:val="0"/>
              <w:suppressLineNumbers w:val="0"/>
              <w:spacing w:before="0" w:beforeAutospacing="0" w:after="0" w:afterAutospacing="0"/>
              <w:ind w:right="0"/>
              <w:rPr>
                <w:rFonts w:hint="default"/>
                <w:color w:val="auto"/>
              </w:rPr>
            </w:pPr>
          </w:p>
          <w:p w14:paraId="2D7858E7">
            <w:pPr>
              <w:pStyle w:val="4"/>
              <w:keepNext w:val="0"/>
              <w:keepLines w:val="0"/>
              <w:suppressLineNumbers w:val="0"/>
              <w:spacing w:before="0" w:beforeAutospacing="0" w:after="0" w:afterAutospacing="0"/>
              <w:ind w:right="0"/>
              <w:rPr>
                <w:rFonts w:hint="default"/>
                <w:color w:val="auto"/>
              </w:rPr>
            </w:pPr>
          </w:p>
          <w:p w14:paraId="4B2B5C9D">
            <w:pPr>
              <w:pStyle w:val="4"/>
              <w:keepNext w:val="0"/>
              <w:keepLines w:val="0"/>
              <w:suppressLineNumbers w:val="0"/>
              <w:spacing w:before="0" w:beforeAutospacing="0" w:after="0" w:afterAutospacing="0"/>
              <w:ind w:right="0"/>
              <w:rPr>
                <w:rFonts w:hint="default"/>
                <w:color w:val="auto"/>
              </w:rPr>
            </w:pPr>
          </w:p>
          <w:p w14:paraId="2E04D248">
            <w:pPr>
              <w:pStyle w:val="4"/>
              <w:keepNext w:val="0"/>
              <w:keepLines w:val="0"/>
              <w:suppressLineNumbers w:val="0"/>
              <w:spacing w:before="0" w:beforeAutospacing="0" w:after="0" w:afterAutospacing="0"/>
              <w:ind w:right="0"/>
              <w:rPr>
                <w:rFonts w:hint="default"/>
                <w:color w:val="auto"/>
              </w:rPr>
            </w:pPr>
          </w:p>
          <w:p w14:paraId="00EB5EF1">
            <w:pPr>
              <w:pStyle w:val="4"/>
              <w:keepNext w:val="0"/>
              <w:keepLines w:val="0"/>
              <w:suppressLineNumbers w:val="0"/>
              <w:spacing w:before="0" w:beforeAutospacing="0" w:after="0" w:afterAutospacing="0"/>
              <w:ind w:right="0"/>
              <w:rPr>
                <w:rFonts w:hint="default"/>
                <w:color w:val="auto"/>
              </w:rPr>
            </w:pPr>
          </w:p>
          <w:p w14:paraId="7FC551B1">
            <w:pPr>
              <w:pStyle w:val="4"/>
              <w:keepNext w:val="0"/>
              <w:keepLines w:val="0"/>
              <w:suppressLineNumbers w:val="0"/>
              <w:spacing w:before="0" w:beforeAutospacing="0" w:after="0" w:afterAutospacing="0"/>
              <w:ind w:right="0"/>
              <w:rPr>
                <w:rFonts w:hint="default"/>
                <w:color w:val="auto"/>
              </w:rPr>
            </w:pPr>
          </w:p>
          <w:p w14:paraId="12E43BC2">
            <w:pPr>
              <w:pStyle w:val="4"/>
              <w:keepNext w:val="0"/>
              <w:keepLines w:val="0"/>
              <w:suppressLineNumbers w:val="0"/>
              <w:spacing w:before="0" w:beforeAutospacing="0" w:after="0" w:afterAutospacing="0"/>
              <w:ind w:right="0"/>
              <w:rPr>
                <w:rFonts w:hint="default"/>
                <w:color w:val="auto"/>
              </w:rPr>
            </w:pPr>
          </w:p>
          <w:p w14:paraId="5D719A08">
            <w:pPr>
              <w:pStyle w:val="4"/>
              <w:keepNext w:val="0"/>
              <w:keepLines w:val="0"/>
              <w:suppressLineNumbers w:val="0"/>
              <w:spacing w:before="0" w:beforeAutospacing="0" w:after="0" w:afterAutospacing="0"/>
              <w:ind w:right="0"/>
              <w:rPr>
                <w:rFonts w:hint="default"/>
                <w:color w:val="auto"/>
              </w:rPr>
            </w:pPr>
          </w:p>
          <w:p w14:paraId="368582FB">
            <w:pPr>
              <w:pStyle w:val="4"/>
              <w:keepNext w:val="0"/>
              <w:keepLines w:val="0"/>
              <w:suppressLineNumbers w:val="0"/>
              <w:spacing w:before="0" w:beforeAutospacing="0" w:after="0" w:afterAutospacing="0"/>
              <w:ind w:right="0"/>
              <w:rPr>
                <w:rFonts w:hint="default"/>
                <w:color w:val="auto"/>
              </w:rPr>
            </w:pPr>
          </w:p>
          <w:p w14:paraId="339F0C4D">
            <w:pPr>
              <w:pStyle w:val="4"/>
              <w:keepNext w:val="0"/>
              <w:keepLines w:val="0"/>
              <w:suppressLineNumbers w:val="0"/>
              <w:spacing w:before="0" w:beforeAutospacing="0" w:after="0" w:afterAutospacing="0"/>
              <w:ind w:right="0"/>
              <w:rPr>
                <w:rFonts w:hint="default"/>
                <w:color w:val="auto"/>
              </w:rPr>
            </w:pPr>
          </w:p>
          <w:p w14:paraId="5270720E">
            <w:pPr>
              <w:pStyle w:val="4"/>
              <w:keepNext w:val="0"/>
              <w:keepLines w:val="0"/>
              <w:suppressLineNumbers w:val="0"/>
              <w:spacing w:before="0" w:beforeAutospacing="0" w:after="0" w:afterAutospacing="0"/>
              <w:ind w:right="0"/>
              <w:rPr>
                <w:rFonts w:hint="default"/>
                <w:color w:val="auto"/>
              </w:rPr>
            </w:pPr>
          </w:p>
          <w:p w14:paraId="0CE17210">
            <w:pPr>
              <w:pStyle w:val="4"/>
              <w:keepNext w:val="0"/>
              <w:keepLines w:val="0"/>
              <w:suppressLineNumbers w:val="0"/>
              <w:spacing w:before="0" w:beforeAutospacing="0" w:after="0" w:afterAutospacing="0"/>
              <w:ind w:right="0"/>
              <w:rPr>
                <w:rFonts w:hint="default"/>
                <w:color w:val="auto"/>
              </w:rPr>
            </w:pPr>
          </w:p>
          <w:p w14:paraId="5B8010C6">
            <w:pPr>
              <w:pStyle w:val="4"/>
              <w:keepNext w:val="0"/>
              <w:keepLines w:val="0"/>
              <w:suppressLineNumbers w:val="0"/>
              <w:spacing w:before="0" w:beforeAutospacing="0" w:after="0" w:afterAutospacing="0"/>
              <w:ind w:right="0"/>
              <w:rPr>
                <w:rFonts w:hint="default"/>
                <w:color w:val="auto"/>
              </w:rPr>
            </w:pPr>
          </w:p>
          <w:p w14:paraId="576CDF50">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257B49E2">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47589CB1">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145CF634">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0A9BB590">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3B21FF13">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486FB881">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72E4087F">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789911CC">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09CC891A">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403CCF2C">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52047518">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115A7256">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58B5278C">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62286EC4">
            <w:pPr>
              <w:pStyle w:val="2"/>
              <w:keepNext w:val="0"/>
              <w:keepLines w:val="0"/>
              <w:suppressLineNumbers w:val="0"/>
              <w:spacing w:before="0" w:beforeAutospacing="0" w:afterAutospacing="0"/>
              <w:ind w:right="0"/>
              <w:rPr>
                <w:rFonts w:hint="default" w:cs="宋体"/>
                <w:bCs/>
                <w:color w:val="auto"/>
                <w:szCs w:val="21"/>
              </w:rPr>
            </w:pPr>
          </w:p>
          <w:p w14:paraId="1203841A">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14:paraId="0FD368B2">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14:paraId="06B6B916">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14:paraId="2F6D0996">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14:paraId="514F3A3B">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14:paraId="1AFB313E">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14:paraId="030A311B">
            <w:pPr>
              <w:pStyle w:val="2"/>
              <w:keepNext w:val="0"/>
              <w:keepLines w:val="0"/>
              <w:suppressLineNumbers w:val="0"/>
              <w:spacing w:before="0" w:beforeAutospacing="0" w:afterAutospacing="0"/>
              <w:ind w:right="0"/>
              <w:rPr>
                <w:rFonts w:hint="default"/>
                <w:color w:val="auto"/>
              </w:rPr>
            </w:pPr>
          </w:p>
          <w:p w14:paraId="407AAF23">
            <w:pPr>
              <w:pStyle w:val="4"/>
              <w:keepNext w:val="0"/>
              <w:keepLines w:val="0"/>
              <w:suppressLineNumbers w:val="0"/>
              <w:spacing w:before="0" w:beforeAutospacing="0" w:after="0" w:afterAutospacing="0"/>
              <w:ind w:right="0"/>
              <w:rPr>
                <w:rFonts w:hint="default"/>
                <w:color w:val="auto"/>
              </w:rPr>
            </w:pPr>
          </w:p>
          <w:p w14:paraId="3E747FA5">
            <w:pPr>
              <w:pStyle w:val="4"/>
              <w:keepNext w:val="0"/>
              <w:keepLines w:val="0"/>
              <w:suppressLineNumbers w:val="0"/>
              <w:spacing w:before="0" w:beforeAutospacing="0" w:after="0" w:afterAutospacing="0"/>
              <w:ind w:right="0"/>
              <w:rPr>
                <w:rFonts w:hint="default"/>
                <w:color w:val="auto"/>
              </w:rPr>
            </w:pPr>
          </w:p>
          <w:p w14:paraId="61974AB3">
            <w:pPr>
              <w:pStyle w:val="4"/>
              <w:keepNext w:val="0"/>
              <w:keepLines w:val="0"/>
              <w:suppressLineNumbers w:val="0"/>
              <w:spacing w:before="0" w:beforeAutospacing="0" w:after="0" w:afterAutospacing="0"/>
              <w:ind w:right="0"/>
              <w:rPr>
                <w:rFonts w:hint="default"/>
                <w:color w:val="auto"/>
              </w:rPr>
            </w:pPr>
          </w:p>
          <w:p w14:paraId="68E57EE2">
            <w:pPr>
              <w:pStyle w:val="4"/>
              <w:keepNext w:val="0"/>
              <w:keepLines w:val="0"/>
              <w:suppressLineNumbers w:val="0"/>
              <w:spacing w:before="0" w:beforeAutospacing="0" w:after="0" w:afterAutospacing="0"/>
              <w:ind w:right="0"/>
              <w:rPr>
                <w:rFonts w:hint="default"/>
                <w:color w:val="auto"/>
              </w:rPr>
            </w:pPr>
          </w:p>
          <w:p w14:paraId="32FB5783">
            <w:pPr>
              <w:pStyle w:val="4"/>
              <w:keepNext w:val="0"/>
              <w:keepLines w:val="0"/>
              <w:suppressLineNumbers w:val="0"/>
              <w:spacing w:before="0" w:beforeAutospacing="0" w:after="0" w:afterAutospacing="0"/>
              <w:ind w:right="0"/>
              <w:rPr>
                <w:rFonts w:hint="default"/>
                <w:color w:val="auto"/>
              </w:rPr>
            </w:pPr>
          </w:p>
          <w:p w14:paraId="5F3EE732">
            <w:pPr>
              <w:pStyle w:val="4"/>
              <w:keepNext w:val="0"/>
              <w:keepLines w:val="0"/>
              <w:suppressLineNumbers w:val="0"/>
              <w:spacing w:before="0" w:beforeAutospacing="0" w:after="0" w:afterAutospacing="0"/>
              <w:ind w:right="0"/>
              <w:rPr>
                <w:rFonts w:hint="default"/>
                <w:color w:val="auto"/>
              </w:rPr>
            </w:pPr>
          </w:p>
          <w:p w14:paraId="2597D9F9">
            <w:pPr>
              <w:pStyle w:val="4"/>
              <w:keepNext w:val="0"/>
              <w:keepLines w:val="0"/>
              <w:suppressLineNumbers w:val="0"/>
              <w:spacing w:before="0" w:beforeAutospacing="0" w:after="0" w:afterAutospacing="0"/>
              <w:ind w:right="0"/>
              <w:rPr>
                <w:rFonts w:hint="default"/>
                <w:color w:val="auto"/>
              </w:rPr>
            </w:pPr>
          </w:p>
          <w:p w14:paraId="29C1F39C">
            <w:pPr>
              <w:pStyle w:val="4"/>
              <w:keepNext w:val="0"/>
              <w:keepLines w:val="0"/>
              <w:suppressLineNumbers w:val="0"/>
              <w:spacing w:before="0" w:beforeAutospacing="0" w:after="0" w:afterAutospacing="0"/>
              <w:ind w:right="0"/>
              <w:rPr>
                <w:rFonts w:hint="default"/>
                <w:color w:val="auto"/>
              </w:rPr>
            </w:pPr>
          </w:p>
          <w:p w14:paraId="74568F17">
            <w:pPr>
              <w:pStyle w:val="4"/>
              <w:keepNext w:val="0"/>
              <w:keepLines w:val="0"/>
              <w:suppressLineNumbers w:val="0"/>
              <w:spacing w:before="0" w:beforeAutospacing="0" w:after="0" w:afterAutospacing="0"/>
              <w:ind w:right="0"/>
              <w:rPr>
                <w:rFonts w:hint="default"/>
                <w:color w:val="auto"/>
              </w:rPr>
            </w:pPr>
          </w:p>
          <w:p w14:paraId="3A249C60">
            <w:pPr>
              <w:pStyle w:val="4"/>
              <w:keepNext w:val="0"/>
              <w:keepLines w:val="0"/>
              <w:suppressLineNumbers w:val="0"/>
              <w:spacing w:before="0" w:beforeAutospacing="0" w:after="0" w:afterAutospacing="0"/>
              <w:ind w:right="0"/>
              <w:rPr>
                <w:rFonts w:hint="default"/>
                <w:color w:val="auto"/>
              </w:rPr>
            </w:pPr>
          </w:p>
          <w:p w14:paraId="65FB1D3D">
            <w:pPr>
              <w:pStyle w:val="4"/>
              <w:keepNext w:val="0"/>
              <w:keepLines w:val="0"/>
              <w:suppressLineNumbers w:val="0"/>
              <w:spacing w:before="0" w:beforeAutospacing="0" w:after="0" w:afterAutospacing="0"/>
              <w:ind w:right="0"/>
              <w:rPr>
                <w:rFonts w:hint="default"/>
                <w:color w:val="auto"/>
              </w:rPr>
            </w:pPr>
          </w:p>
          <w:p w14:paraId="29A33CFD">
            <w:pPr>
              <w:pStyle w:val="4"/>
              <w:keepNext w:val="0"/>
              <w:keepLines w:val="0"/>
              <w:suppressLineNumbers w:val="0"/>
              <w:spacing w:before="0" w:beforeAutospacing="0" w:after="0" w:afterAutospacing="0"/>
              <w:ind w:right="0"/>
              <w:rPr>
                <w:rFonts w:hint="default"/>
                <w:color w:val="auto"/>
              </w:rPr>
            </w:pPr>
          </w:p>
          <w:p w14:paraId="69C0BA2B">
            <w:pPr>
              <w:pStyle w:val="4"/>
              <w:keepNext w:val="0"/>
              <w:keepLines w:val="0"/>
              <w:suppressLineNumbers w:val="0"/>
              <w:spacing w:before="0" w:beforeAutospacing="0" w:after="0" w:afterAutospacing="0"/>
              <w:ind w:right="0"/>
              <w:rPr>
                <w:rFonts w:hint="default"/>
                <w:color w:val="auto"/>
              </w:rPr>
            </w:pPr>
          </w:p>
          <w:p w14:paraId="4C8C123C">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75E9F749">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6EBDFD71">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57648B73">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6E83171F">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04BBC0DC">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4FFB1586">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2378B94A">
            <w:pPr>
              <w:pStyle w:val="2"/>
              <w:keepNext w:val="0"/>
              <w:keepLines w:val="0"/>
              <w:suppressLineNumbers w:val="0"/>
              <w:spacing w:before="0" w:beforeAutospacing="0" w:afterAutospacing="0"/>
              <w:ind w:right="0"/>
              <w:rPr>
                <w:rFonts w:hint="default"/>
                <w:color w:val="auto"/>
              </w:rPr>
            </w:pPr>
          </w:p>
          <w:p w14:paraId="7375FF02">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3DD738C1">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0C4F12F6">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5B8D20EA">
            <w:pPr>
              <w:pStyle w:val="2"/>
              <w:keepNext w:val="0"/>
              <w:keepLines w:val="0"/>
              <w:suppressLineNumbers w:val="0"/>
              <w:spacing w:before="0" w:beforeAutospacing="0" w:afterAutospacing="0"/>
              <w:ind w:right="0"/>
              <w:rPr>
                <w:rFonts w:hint="default"/>
                <w:color w:val="auto"/>
              </w:rPr>
            </w:pPr>
          </w:p>
          <w:p w14:paraId="77A5FDD5">
            <w:pPr>
              <w:pStyle w:val="2"/>
              <w:keepNext w:val="0"/>
              <w:keepLines w:val="0"/>
              <w:suppressLineNumbers w:val="0"/>
              <w:spacing w:before="0" w:beforeAutospacing="0" w:afterAutospacing="0"/>
              <w:ind w:right="0"/>
              <w:rPr>
                <w:rFonts w:hint="default"/>
                <w:color w:val="auto"/>
              </w:rPr>
            </w:pPr>
          </w:p>
          <w:p w14:paraId="70AB61BE">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1C2D931E">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14:paraId="6C39559D">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14:paraId="7A33DE24">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14:paraId="2F21D51C">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14:paraId="7D78F2EF">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14:paraId="3006CDE5">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14:paraId="3516B408">
            <w:pPr>
              <w:pStyle w:val="2"/>
              <w:keepNext w:val="0"/>
              <w:keepLines w:val="0"/>
              <w:suppressLineNumbers w:val="0"/>
              <w:spacing w:before="0" w:beforeAutospacing="0" w:afterAutospacing="0"/>
              <w:ind w:right="0"/>
              <w:rPr>
                <w:rFonts w:hint="default"/>
                <w:color w:val="auto"/>
              </w:rPr>
            </w:pPr>
          </w:p>
          <w:p w14:paraId="29DD04A8">
            <w:pPr>
              <w:pStyle w:val="4"/>
              <w:keepNext w:val="0"/>
              <w:keepLines w:val="0"/>
              <w:suppressLineNumbers w:val="0"/>
              <w:spacing w:before="0" w:beforeAutospacing="0" w:after="0" w:afterAutospacing="0"/>
              <w:ind w:right="0"/>
              <w:rPr>
                <w:rFonts w:hint="default"/>
                <w:color w:val="auto"/>
              </w:rPr>
            </w:pPr>
          </w:p>
          <w:p w14:paraId="69B7D815">
            <w:pPr>
              <w:pStyle w:val="4"/>
              <w:keepNext w:val="0"/>
              <w:keepLines w:val="0"/>
              <w:suppressLineNumbers w:val="0"/>
              <w:spacing w:before="0" w:beforeAutospacing="0" w:after="0" w:afterAutospacing="0"/>
              <w:ind w:right="0"/>
              <w:rPr>
                <w:rFonts w:hint="default"/>
                <w:color w:val="auto"/>
              </w:rPr>
            </w:pPr>
          </w:p>
          <w:p w14:paraId="4B56725C">
            <w:pPr>
              <w:pStyle w:val="4"/>
              <w:keepNext w:val="0"/>
              <w:keepLines w:val="0"/>
              <w:suppressLineNumbers w:val="0"/>
              <w:spacing w:before="0" w:beforeAutospacing="0" w:after="0" w:afterAutospacing="0"/>
              <w:ind w:right="0"/>
              <w:rPr>
                <w:rFonts w:hint="default"/>
                <w:color w:val="auto"/>
              </w:rPr>
            </w:pPr>
          </w:p>
          <w:p w14:paraId="7ADC2CE1">
            <w:pPr>
              <w:pStyle w:val="4"/>
              <w:keepNext w:val="0"/>
              <w:keepLines w:val="0"/>
              <w:suppressLineNumbers w:val="0"/>
              <w:spacing w:before="0" w:beforeAutospacing="0" w:after="0" w:afterAutospacing="0"/>
              <w:ind w:right="0"/>
              <w:rPr>
                <w:rFonts w:hint="default"/>
                <w:color w:val="auto"/>
              </w:rPr>
            </w:pPr>
          </w:p>
          <w:p w14:paraId="0355C500">
            <w:pPr>
              <w:pStyle w:val="4"/>
              <w:keepNext w:val="0"/>
              <w:keepLines w:val="0"/>
              <w:suppressLineNumbers w:val="0"/>
              <w:spacing w:before="0" w:beforeAutospacing="0" w:after="0" w:afterAutospacing="0"/>
              <w:ind w:right="0"/>
              <w:rPr>
                <w:rFonts w:hint="default"/>
                <w:color w:val="auto"/>
              </w:rPr>
            </w:pPr>
          </w:p>
          <w:p w14:paraId="7595DC9F">
            <w:pPr>
              <w:pStyle w:val="4"/>
              <w:keepNext w:val="0"/>
              <w:keepLines w:val="0"/>
              <w:suppressLineNumbers w:val="0"/>
              <w:spacing w:before="0" w:beforeAutospacing="0" w:after="0" w:afterAutospacing="0"/>
              <w:ind w:right="0"/>
              <w:rPr>
                <w:rFonts w:hint="default"/>
                <w:color w:val="auto"/>
              </w:rPr>
            </w:pPr>
          </w:p>
          <w:p w14:paraId="3D380CA7">
            <w:pPr>
              <w:pStyle w:val="4"/>
              <w:keepNext w:val="0"/>
              <w:keepLines w:val="0"/>
              <w:suppressLineNumbers w:val="0"/>
              <w:spacing w:before="0" w:beforeAutospacing="0" w:after="0" w:afterAutospacing="0"/>
              <w:ind w:right="0"/>
              <w:rPr>
                <w:rFonts w:hint="default"/>
                <w:color w:val="auto"/>
              </w:rPr>
            </w:pPr>
          </w:p>
          <w:p w14:paraId="562175AA">
            <w:pPr>
              <w:pStyle w:val="4"/>
              <w:keepNext w:val="0"/>
              <w:keepLines w:val="0"/>
              <w:suppressLineNumbers w:val="0"/>
              <w:spacing w:before="0" w:beforeAutospacing="0" w:after="0" w:afterAutospacing="0"/>
              <w:ind w:right="0"/>
              <w:rPr>
                <w:rFonts w:hint="default"/>
                <w:color w:val="auto"/>
              </w:rPr>
            </w:pPr>
          </w:p>
          <w:p w14:paraId="5A9CCA00">
            <w:pPr>
              <w:pStyle w:val="4"/>
              <w:keepNext w:val="0"/>
              <w:keepLines w:val="0"/>
              <w:suppressLineNumbers w:val="0"/>
              <w:spacing w:before="0" w:beforeAutospacing="0" w:after="0" w:afterAutospacing="0"/>
              <w:ind w:right="0"/>
              <w:rPr>
                <w:rFonts w:hint="default"/>
                <w:color w:val="auto"/>
              </w:rPr>
            </w:pPr>
          </w:p>
          <w:p w14:paraId="10CB4FFC">
            <w:pPr>
              <w:pStyle w:val="4"/>
              <w:keepNext w:val="0"/>
              <w:keepLines w:val="0"/>
              <w:suppressLineNumbers w:val="0"/>
              <w:spacing w:before="0" w:beforeAutospacing="0" w:after="0" w:afterAutospacing="0"/>
              <w:ind w:right="0"/>
              <w:rPr>
                <w:rFonts w:hint="default"/>
                <w:color w:val="auto"/>
              </w:rPr>
            </w:pPr>
          </w:p>
          <w:p w14:paraId="7C96382F">
            <w:pPr>
              <w:pStyle w:val="4"/>
              <w:keepNext w:val="0"/>
              <w:keepLines w:val="0"/>
              <w:suppressLineNumbers w:val="0"/>
              <w:spacing w:before="0" w:beforeAutospacing="0" w:after="0" w:afterAutospacing="0"/>
              <w:ind w:right="0"/>
              <w:rPr>
                <w:rFonts w:hint="default"/>
                <w:color w:val="auto"/>
              </w:rPr>
            </w:pPr>
          </w:p>
          <w:p w14:paraId="5D901F45">
            <w:pPr>
              <w:pStyle w:val="4"/>
              <w:keepNext w:val="0"/>
              <w:keepLines w:val="0"/>
              <w:suppressLineNumbers w:val="0"/>
              <w:spacing w:before="0" w:beforeAutospacing="0" w:after="0" w:afterAutospacing="0"/>
              <w:ind w:right="0"/>
              <w:rPr>
                <w:rFonts w:hint="default"/>
                <w:color w:val="auto"/>
              </w:rPr>
            </w:pPr>
          </w:p>
          <w:p w14:paraId="3F501523">
            <w:pPr>
              <w:pStyle w:val="4"/>
              <w:keepNext w:val="0"/>
              <w:keepLines w:val="0"/>
              <w:suppressLineNumbers w:val="0"/>
              <w:spacing w:before="0" w:beforeAutospacing="0" w:after="0" w:afterAutospacing="0"/>
              <w:ind w:right="0"/>
              <w:rPr>
                <w:rFonts w:hint="default"/>
                <w:color w:val="auto"/>
              </w:rPr>
            </w:pPr>
          </w:p>
          <w:p w14:paraId="339DB43E">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6BCE1D16">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29B6F3CF">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30251470">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3DAC2C5B">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48EB6337">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28110AB7">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69069C5A">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5C9739B6">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4E395C4B">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200FC468">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0427302B">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1C741356">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6EEA3758">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475B58B2">
            <w:pPr>
              <w:pStyle w:val="2"/>
              <w:keepNext w:val="0"/>
              <w:keepLines w:val="0"/>
              <w:suppressLineNumbers w:val="0"/>
              <w:spacing w:before="0" w:beforeAutospacing="0" w:afterAutospacing="0"/>
              <w:ind w:right="0"/>
              <w:rPr>
                <w:rFonts w:hint="default"/>
                <w:color w:val="auto"/>
              </w:rPr>
            </w:pPr>
          </w:p>
          <w:p w14:paraId="7791837D">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70E38AA4">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5F1FBE4F">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14:paraId="4A459204">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14:paraId="11E446AD">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14:paraId="666712E0">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14:paraId="04DF2FDA">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14:paraId="12B658F6">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14:paraId="47D426BC">
            <w:pPr>
              <w:pStyle w:val="2"/>
              <w:keepNext w:val="0"/>
              <w:keepLines w:val="0"/>
              <w:suppressLineNumbers w:val="0"/>
              <w:spacing w:before="0" w:beforeAutospacing="0" w:afterAutospacing="0"/>
              <w:ind w:right="0"/>
              <w:rPr>
                <w:rFonts w:hint="default"/>
                <w:color w:val="auto"/>
              </w:rPr>
            </w:pPr>
          </w:p>
          <w:p w14:paraId="12F8286C">
            <w:pPr>
              <w:pStyle w:val="4"/>
              <w:keepNext w:val="0"/>
              <w:keepLines w:val="0"/>
              <w:suppressLineNumbers w:val="0"/>
              <w:spacing w:before="0" w:beforeAutospacing="0" w:after="0" w:afterAutospacing="0"/>
              <w:ind w:right="0"/>
              <w:rPr>
                <w:rFonts w:hint="default"/>
                <w:color w:val="auto"/>
              </w:rPr>
            </w:pPr>
          </w:p>
          <w:p w14:paraId="6B641830">
            <w:pPr>
              <w:pStyle w:val="4"/>
              <w:keepNext w:val="0"/>
              <w:keepLines w:val="0"/>
              <w:suppressLineNumbers w:val="0"/>
              <w:spacing w:before="0" w:beforeAutospacing="0" w:after="0" w:afterAutospacing="0"/>
              <w:ind w:right="0"/>
              <w:rPr>
                <w:rFonts w:hint="default"/>
                <w:color w:val="auto"/>
              </w:rPr>
            </w:pPr>
          </w:p>
          <w:p w14:paraId="6E9A76A8">
            <w:pPr>
              <w:pStyle w:val="4"/>
              <w:keepNext w:val="0"/>
              <w:keepLines w:val="0"/>
              <w:suppressLineNumbers w:val="0"/>
              <w:spacing w:before="0" w:beforeAutospacing="0" w:after="0" w:afterAutospacing="0"/>
              <w:ind w:right="0"/>
              <w:rPr>
                <w:rFonts w:hint="default"/>
                <w:color w:val="auto"/>
              </w:rPr>
            </w:pPr>
          </w:p>
          <w:p w14:paraId="5025D7C8">
            <w:pPr>
              <w:pStyle w:val="4"/>
              <w:keepNext w:val="0"/>
              <w:keepLines w:val="0"/>
              <w:suppressLineNumbers w:val="0"/>
              <w:spacing w:before="0" w:beforeAutospacing="0" w:after="0" w:afterAutospacing="0"/>
              <w:ind w:right="0"/>
              <w:rPr>
                <w:rFonts w:hint="default"/>
                <w:color w:val="auto"/>
              </w:rPr>
            </w:pPr>
          </w:p>
          <w:p w14:paraId="24864EBA">
            <w:pPr>
              <w:pStyle w:val="4"/>
              <w:keepNext w:val="0"/>
              <w:keepLines w:val="0"/>
              <w:suppressLineNumbers w:val="0"/>
              <w:spacing w:before="0" w:beforeAutospacing="0" w:after="0" w:afterAutospacing="0"/>
              <w:ind w:right="0"/>
              <w:rPr>
                <w:rFonts w:hint="default"/>
                <w:color w:val="auto"/>
              </w:rPr>
            </w:pPr>
          </w:p>
          <w:p w14:paraId="204E21C4">
            <w:pPr>
              <w:pStyle w:val="4"/>
              <w:keepNext w:val="0"/>
              <w:keepLines w:val="0"/>
              <w:suppressLineNumbers w:val="0"/>
              <w:spacing w:before="0" w:beforeAutospacing="0" w:after="0" w:afterAutospacing="0"/>
              <w:ind w:right="0"/>
              <w:rPr>
                <w:rFonts w:hint="default"/>
                <w:color w:val="auto"/>
              </w:rPr>
            </w:pPr>
          </w:p>
          <w:p w14:paraId="19311219">
            <w:pPr>
              <w:pStyle w:val="4"/>
              <w:keepNext w:val="0"/>
              <w:keepLines w:val="0"/>
              <w:suppressLineNumbers w:val="0"/>
              <w:spacing w:before="0" w:beforeAutospacing="0" w:after="0" w:afterAutospacing="0"/>
              <w:ind w:right="0"/>
              <w:rPr>
                <w:rFonts w:hint="default"/>
                <w:color w:val="auto"/>
              </w:rPr>
            </w:pPr>
          </w:p>
          <w:p w14:paraId="5210A50A">
            <w:pPr>
              <w:pStyle w:val="4"/>
              <w:keepNext w:val="0"/>
              <w:keepLines w:val="0"/>
              <w:suppressLineNumbers w:val="0"/>
              <w:spacing w:before="0" w:beforeAutospacing="0" w:after="0" w:afterAutospacing="0"/>
              <w:ind w:right="0"/>
              <w:rPr>
                <w:rFonts w:hint="default"/>
                <w:color w:val="auto"/>
              </w:rPr>
            </w:pPr>
          </w:p>
          <w:p w14:paraId="34C44B47">
            <w:pPr>
              <w:pStyle w:val="4"/>
              <w:keepNext w:val="0"/>
              <w:keepLines w:val="0"/>
              <w:suppressLineNumbers w:val="0"/>
              <w:spacing w:before="0" w:beforeAutospacing="0" w:after="0" w:afterAutospacing="0"/>
              <w:ind w:right="0"/>
              <w:rPr>
                <w:rFonts w:hint="default"/>
                <w:color w:val="auto"/>
              </w:rPr>
            </w:pPr>
          </w:p>
          <w:p w14:paraId="15965E61">
            <w:pPr>
              <w:pStyle w:val="4"/>
              <w:keepNext w:val="0"/>
              <w:keepLines w:val="0"/>
              <w:suppressLineNumbers w:val="0"/>
              <w:spacing w:before="0" w:beforeAutospacing="0" w:after="0" w:afterAutospacing="0"/>
              <w:ind w:right="0"/>
              <w:rPr>
                <w:rFonts w:hint="default"/>
                <w:color w:val="auto"/>
              </w:rPr>
            </w:pPr>
          </w:p>
          <w:p w14:paraId="4DAA4A3D">
            <w:pPr>
              <w:pStyle w:val="4"/>
              <w:keepNext w:val="0"/>
              <w:keepLines w:val="0"/>
              <w:suppressLineNumbers w:val="0"/>
              <w:spacing w:before="0" w:beforeAutospacing="0" w:after="0" w:afterAutospacing="0"/>
              <w:ind w:right="0"/>
              <w:rPr>
                <w:rFonts w:hint="default"/>
                <w:color w:val="auto"/>
              </w:rPr>
            </w:pPr>
          </w:p>
          <w:p w14:paraId="5F35D12F">
            <w:pPr>
              <w:pStyle w:val="4"/>
              <w:keepNext w:val="0"/>
              <w:keepLines w:val="0"/>
              <w:suppressLineNumbers w:val="0"/>
              <w:spacing w:before="0" w:beforeAutospacing="0" w:after="0" w:afterAutospacing="0"/>
              <w:ind w:right="0"/>
              <w:rPr>
                <w:rFonts w:hint="default"/>
                <w:color w:val="auto"/>
              </w:rPr>
            </w:pPr>
          </w:p>
          <w:p w14:paraId="6D3AFB52">
            <w:pPr>
              <w:pStyle w:val="4"/>
              <w:keepNext w:val="0"/>
              <w:keepLines w:val="0"/>
              <w:suppressLineNumbers w:val="0"/>
              <w:spacing w:before="0" w:beforeAutospacing="0" w:after="0" w:afterAutospacing="0"/>
              <w:ind w:right="0"/>
              <w:rPr>
                <w:rFonts w:hint="default"/>
                <w:color w:val="auto"/>
              </w:rPr>
            </w:pPr>
          </w:p>
          <w:p w14:paraId="5EFF78DD">
            <w:pPr>
              <w:pStyle w:val="4"/>
              <w:keepNext w:val="0"/>
              <w:keepLines w:val="0"/>
              <w:suppressLineNumbers w:val="0"/>
              <w:spacing w:before="0" w:beforeAutospacing="0" w:after="0" w:afterAutospacing="0"/>
              <w:ind w:right="0"/>
              <w:rPr>
                <w:rFonts w:hint="default"/>
                <w:color w:val="auto"/>
              </w:rPr>
            </w:pPr>
          </w:p>
          <w:p w14:paraId="665C4AEC">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653CD349">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370E1417">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68E496CA">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02DA90F5">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20CC07F8">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1E635B14">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67D9A9A8">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49A97FC9">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323B149B">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3120E89E">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023949D4">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6497FF94">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2D976940">
            <w:pPr>
              <w:pStyle w:val="2"/>
              <w:keepNext w:val="0"/>
              <w:keepLines w:val="0"/>
              <w:suppressLineNumbers w:val="0"/>
              <w:spacing w:before="0" w:beforeAutospacing="0" w:afterAutospacing="0"/>
              <w:ind w:right="0"/>
              <w:rPr>
                <w:rFonts w:hint="default" w:cs="宋体"/>
                <w:bCs/>
                <w:color w:val="auto"/>
                <w:szCs w:val="21"/>
              </w:rPr>
            </w:pPr>
          </w:p>
          <w:p w14:paraId="1B729643">
            <w:pPr>
              <w:pStyle w:val="3"/>
              <w:keepNext w:val="0"/>
              <w:keepLines w:val="0"/>
              <w:suppressLineNumbers w:val="0"/>
              <w:spacing w:before="0" w:beforeAutospacing="0" w:after="0" w:afterAutospacing="0"/>
              <w:ind w:left="0" w:right="0"/>
              <w:rPr>
                <w:rFonts w:hint="default"/>
                <w:color w:val="auto"/>
              </w:rPr>
            </w:pPr>
          </w:p>
          <w:p w14:paraId="565D92B7">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3EBA5D48">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14:paraId="0211FC4F">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14:paraId="39FA9635">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14:paraId="16851C32">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14:paraId="24DA1F2F">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14:paraId="64FAC366">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14:paraId="590D83CF">
            <w:pPr>
              <w:pStyle w:val="2"/>
              <w:keepNext w:val="0"/>
              <w:keepLines w:val="0"/>
              <w:suppressLineNumbers w:val="0"/>
              <w:spacing w:before="0" w:beforeAutospacing="0" w:afterAutospacing="0"/>
              <w:ind w:right="0"/>
              <w:rPr>
                <w:rFonts w:hint="default"/>
                <w:color w:val="auto"/>
              </w:rPr>
            </w:pPr>
          </w:p>
          <w:p w14:paraId="648588E1">
            <w:pPr>
              <w:pStyle w:val="4"/>
              <w:keepNext w:val="0"/>
              <w:keepLines w:val="0"/>
              <w:suppressLineNumbers w:val="0"/>
              <w:spacing w:before="0" w:beforeAutospacing="0" w:after="0" w:afterAutospacing="0"/>
              <w:ind w:right="0"/>
              <w:rPr>
                <w:rFonts w:hint="default"/>
                <w:color w:val="auto"/>
              </w:rPr>
            </w:pPr>
          </w:p>
          <w:p w14:paraId="64CDA4DA">
            <w:pPr>
              <w:pStyle w:val="4"/>
              <w:keepNext w:val="0"/>
              <w:keepLines w:val="0"/>
              <w:suppressLineNumbers w:val="0"/>
              <w:spacing w:before="0" w:beforeAutospacing="0" w:after="0" w:afterAutospacing="0"/>
              <w:ind w:right="0"/>
              <w:rPr>
                <w:rFonts w:hint="default"/>
                <w:color w:val="auto"/>
              </w:rPr>
            </w:pPr>
          </w:p>
          <w:p w14:paraId="43638CA7">
            <w:pPr>
              <w:pStyle w:val="4"/>
              <w:keepNext w:val="0"/>
              <w:keepLines w:val="0"/>
              <w:suppressLineNumbers w:val="0"/>
              <w:spacing w:before="0" w:beforeAutospacing="0" w:after="0" w:afterAutospacing="0"/>
              <w:ind w:right="0"/>
              <w:rPr>
                <w:rFonts w:hint="default"/>
                <w:color w:val="auto"/>
              </w:rPr>
            </w:pPr>
          </w:p>
          <w:p w14:paraId="1612319A">
            <w:pPr>
              <w:pStyle w:val="4"/>
              <w:keepNext w:val="0"/>
              <w:keepLines w:val="0"/>
              <w:suppressLineNumbers w:val="0"/>
              <w:spacing w:before="0" w:beforeAutospacing="0" w:after="0" w:afterAutospacing="0"/>
              <w:ind w:right="0"/>
              <w:rPr>
                <w:rFonts w:hint="default"/>
                <w:color w:val="auto"/>
              </w:rPr>
            </w:pPr>
          </w:p>
          <w:p w14:paraId="0996719D">
            <w:pPr>
              <w:pStyle w:val="4"/>
              <w:keepNext w:val="0"/>
              <w:keepLines w:val="0"/>
              <w:suppressLineNumbers w:val="0"/>
              <w:spacing w:before="0" w:beforeAutospacing="0" w:after="0" w:afterAutospacing="0"/>
              <w:ind w:right="0"/>
              <w:rPr>
                <w:rFonts w:hint="default"/>
                <w:color w:val="auto"/>
              </w:rPr>
            </w:pPr>
          </w:p>
          <w:p w14:paraId="6C2D47B9">
            <w:pPr>
              <w:pStyle w:val="4"/>
              <w:keepNext w:val="0"/>
              <w:keepLines w:val="0"/>
              <w:suppressLineNumbers w:val="0"/>
              <w:spacing w:before="0" w:beforeAutospacing="0" w:after="0" w:afterAutospacing="0"/>
              <w:ind w:right="0"/>
              <w:rPr>
                <w:rFonts w:hint="default"/>
                <w:color w:val="auto"/>
              </w:rPr>
            </w:pPr>
          </w:p>
          <w:p w14:paraId="5F613266">
            <w:pPr>
              <w:pStyle w:val="4"/>
              <w:keepNext w:val="0"/>
              <w:keepLines w:val="0"/>
              <w:suppressLineNumbers w:val="0"/>
              <w:spacing w:before="0" w:beforeAutospacing="0" w:after="0" w:afterAutospacing="0"/>
              <w:ind w:right="0"/>
              <w:rPr>
                <w:rFonts w:hint="default"/>
                <w:color w:val="auto"/>
              </w:rPr>
            </w:pPr>
          </w:p>
          <w:p w14:paraId="2822BA04">
            <w:pPr>
              <w:pStyle w:val="4"/>
              <w:keepNext w:val="0"/>
              <w:keepLines w:val="0"/>
              <w:suppressLineNumbers w:val="0"/>
              <w:spacing w:before="0" w:beforeAutospacing="0" w:after="0" w:afterAutospacing="0"/>
              <w:ind w:right="0"/>
              <w:rPr>
                <w:rFonts w:hint="default"/>
                <w:color w:val="auto"/>
              </w:rPr>
            </w:pPr>
          </w:p>
          <w:p w14:paraId="22C3531A">
            <w:pPr>
              <w:pStyle w:val="4"/>
              <w:keepNext w:val="0"/>
              <w:keepLines w:val="0"/>
              <w:suppressLineNumbers w:val="0"/>
              <w:spacing w:before="0" w:beforeAutospacing="0" w:after="0" w:afterAutospacing="0"/>
              <w:ind w:right="0"/>
              <w:rPr>
                <w:rFonts w:hint="default"/>
                <w:color w:val="auto"/>
              </w:rPr>
            </w:pPr>
          </w:p>
          <w:p w14:paraId="743296B5">
            <w:pPr>
              <w:pStyle w:val="4"/>
              <w:keepNext w:val="0"/>
              <w:keepLines w:val="0"/>
              <w:suppressLineNumbers w:val="0"/>
              <w:spacing w:before="0" w:beforeAutospacing="0" w:after="0" w:afterAutospacing="0"/>
              <w:ind w:right="0"/>
              <w:rPr>
                <w:rFonts w:hint="default"/>
                <w:color w:val="auto"/>
              </w:rPr>
            </w:pPr>
          </w:p>
          <w:p w14:paraId="60C6AF64">
            <w:pPr>
              <w:pStyle w:val="4"/>
              <w:keepNext w:val="0"/>
              <w:keepLines w:val="0"/>
              <w:suppressLineNumbers w:val="0"/>
              <w:spacing w:before="0" w:beforeAutospacing="0" w:after="0" w:afterAutospacing="0"/>
              <w:ind w:right="0"/>
              <w:rPr>
                <w:rFonts w:hint="default"/>
                <w:color w:val="auto"/>
              </w:rPr>
            </w:pPr>
          </w:p>
          <w:p w14:paraId="4F141444">
            <w:pPr>
              <w:pStyle w:val="4"/>
              <w:keepNext w:val="0"/>
              <w:keepLines w:val="0"/>
              <w:suppressLineNumbers w:val="0"/>
              <w:spacing w:before="0" w:beforeAutospacing="0" w:after="0" w:afterAutospacing="0"/>
              <w:ind w:right="0"/>
              <w:rPr>
                <w:rFonts w:hint="default"/>
                <w:color w:val="auto"/>
              </w:rPr>
            </w:pPr>
          </w:p>
          <w:p w14:paraId="4C781BD9">
            <w:pPr>
              <w:pStyle w:val="4"/>
              <w:keepNext w:val="0"/>
              <w:keepLines w:val="0"/>
              <w:suppressLineNumbers w:val="0"/>
              <w:spacing w:before="0" w:beforeAutospacing="0" w:after="0" w:afterAutospacing="0"/>
              <w:ind w:right="0"/>
              <w:rPr>
                <w:rFonts w:hint="default"/>
                <w:color w:val="auto"/>
              </w:rPr>
            </w:pPr>
          </w:p>
          <w:p w14:paraId="6795930C">
            <w:pPr>
              <w:pStyle w:val="4"/>
              <w:keepNext w:val="0"/>
              <w:keepLines w:val="0"/>
              <w:suppressLineNumbers w:val="0"/>
              <w:spacing w:before="0" w:beforeAutospacing="0" w:after="0" w:afterAutospacing="0"/>
              <w:ind w:right="0"/>
              <w:rPr>
                <w:rFonts w:hint="default"/>
                <w:color w:val="auto"/>
              </w:rPr>
            </w:pPr>
          </w:p>
          <w:p w14:paraId="69494379">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1A8A8510">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633C724F">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5D0BFC43">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2AD22CE8">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07AADAA8">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0298BFE7">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651E7C35">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4CB05705">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16A5B887">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03221E71">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308C81CF">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02B15DD5">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14932D29">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169F4C22">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14:paraId="2F4A84A2">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14:paraId="0DC453F7">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14:paraId="6CE34F42">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14:paraId="01CA4145">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14:paraId="4C55DE8F">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14:paraId="5CAB2117">
            <w:pPr>
              <w:pStyle w:val="2"/>
              <w:keepNext w:val="0"/>
              <w:keepLines w:val="0"/>
              <w:suppressLineNumbers w:val="0"/>
              <w:spacing w:before="0" w:beforeAutospacing="0" w:afterAutospacing="0"/>
              <w:ind w:right="0"/>
              <w:rPr>
                <w:rFonts w:hint="default"/>
                <w:color w:val="auto"/>
              </w:rPr>
            </w:pPr>
          </w:p>
          <w:p w14:paraId="315C618F">
            <w:pPr>
              <w:pStyle w:val="4"/>
              <w:keepNext w:val="0"/>
              <w:keepLines w:val="0"/>
              <w:suppressLineNumbers w:val="0"/>
              <w:spacing w:before="0" w:beforeAutospacing="0" w:after="0" w:afterAutospacing="0"/>
              <w:ind w:right="0"/>
              <w:rPr>
                <w:rFonts w:hint="default"/>
                <w:color w:val="auto"/>
              </w:rPr>
            </w:pPr>
          </w:p>
          <w:p w14:paraId="65342390">
            <w:pPr>
              <w:pStyle w:val="4"/>
              <w:keepNext w:val="0"/>
              <w:keepLines w:val="0"/>
              <w:suppressLineNumbers w:val="0"/>
              <w:spacing w:before="0" w:beforeAutospacing="0" w:after="0" w:afterAutospacing="0"/>
              <w:ind w:right="0"/>
              <w:rPr>
                <w:rFonts w:hint="default"/>
                <w:color w:val="auto"/>
              </w:rPr>
            </w:pPr>
          </w:p>
          <w:p w14:paraId="1512EEFB">
            <w:pPr>
              <w:pStyle w:val="4"/>
              <w:keepNext w:val="0"/>
              <w:keepLines w:val="0"/>
              <w:suppressLineNumbers w:val="0"/>
              <w:spacing w:before="0" w:beforeAutospacing="0" w:after="0" w:afterAutospacing="0"/>
              <w:ind w:right="0"/>
              <w:rPr>
                <w:rFonts w:hint="default"/>
                <w:color w:val="auto"/>
              </w:rPr>
            </w:pPr>
          </w:p>
          <w:p w14:paraId="00064A8D">
            <w:pPr>
              <w:pStyle w:val="4"/>
              <w:keepNext w:val="0"/>
              <w:keepLines w:val="0"/>
              <w:suppressLineNumbers w:val="0"/>
              <w:spacing w:before="0" w:beforeAutospacing="0" w:after="0" w:afterAutospacing="0"/>
              <w:ind w:right="0"/>
              <w:rPr>
                <w:rFonts w:hint="default"/>
                <w:color w:val="auto"/>
              </w:rPr>
            </w:pPr>
          </w:p>
          <w:p w14:paraId="1C4E9FD5">
            <w:pPr>
              <w:pStyle w:val="4"/>
              <w:keepNext w:val="0"/>
              <w:keepLines w:val="0"/>
              <w:suppressLineNumbers w:val="0"/>
              <w:spacing w:before="0" w:beforeAutospacing="0" w:after="0" w:afterAutospacing="0"/>
              <w:ind w:right="0"/>
              <w:rPr>
                <w:rFonts w:hint="default"/>
                <w:color w:val="auto"/>
              </w:rPr>
            </w:pPr>
          </w:p>
          <w:p w14:paraId="20D39C08">
            <w:pPr>
              <w:pStyle w:val="4"/>
              <w:keepNext w:val="0"/>
              <w:keepLines w:val="0"/>
              <w:suppressLineNumbers w:val="0"/>
              <w:spacing w:before="0" w:beforeAutospacing="0" w:after="0" w:afterAutospacing="0"/>
              <w:ind w:right="0"/>
              <w:rPr>
                <w:rFonts w:hint="default"/>
                <w:color w:val="auto"/>
              </w:rPr>
            </w:pPr>
          </w:p>
          <w:p w14:paraId="2D55E82C">
            <w:pPr>
              <w:pStyle w:val="4"/>
              <w:keepNext w:val="0"/>
              <w:keepLines w:val="0"/>
              <w:suppressLineNumbers w:val="0"/>
              <w:spacing w:before="0" w:beforeAutospacing="0" w:after="0" w:afterAutospacing="0"/>
              <w:ind w:right="0"/>
              <w:rPr>
                <w:rFonts w:hint="default"/>
                <w:color w:val="auto"/>
              </w:rPr>
            </w:pPr>
          </w:p>
          <w:p w14:paraId="04D988B9">
            <w:pPr>
              <w:pStyle w:val="4"/>
              <w:keepNext w:val="0"/>
              <w:keepLines w:val="0"/>
              <w:suppressLineNumbers w:val="0"/>
              <w:spacing w:before="0" w:beforeAutospacing="0" w:after="0" w:afterAutospacing="0"/>
              <w:ind w:right="0"/>
              <w:rPr>
                <w:rFonts w:hint="default"/>
                <w:color w:val="auto"/>
              </w:rPr>
            </w:pPr>
          </w:p>
          <w:p w14:paraId="6E0BABE8">
            <w:pPr>
              <w:pStyle w:val="4"/>
              <w:keepNext w:val="0"/>
              <w:keepLines w:val="0"/>
              <w:suppressLineNumbers w:val="0"/>
              <w:spacing w:before="0" w:beforeAutospacing="0" w:after="0" w:afterAutospacing="0"/>
              <w:ind w:right="0"/>
              <w:rPr>
                <w:rFonts w:hint="default"/>
                <w:color w:val="auto"/>
              </w:rPr>
            </w:pPr>
          </w:p>
          <w:p w14:paraId="5A6A4978">
            <w:pPr>
              <w:pStyle w:val="4"/>
              <w:keepNext w:val="0"/>
              <w:keepLines w:val="0"/>
              <w:suppressLineNumbers w:val="0"/>
              <w:spacing w:before="0" w:beforeAutospacing="0" w:after="0" w:afterAutospacing="0"/>
              <w:ind w:right="0"/>
              <w:rPr>
                <w:rFonts w:hint="default"/>
                <w:color w:val="auto"/>
              </w:rPr>
            </w:pPr>
          </w:p>
          <w:p w14:paraId="51C8754F">
            <w:pPr>
              <w:pStyle w:val="4"/>
              <w:keepNext w:val="0"/>
              <w:keepLines w:val="0"/>
              <w:suppressLineNumbers w:val="0"/>
              <w:spacing w:before="0" w:beforeAutospacing="0" w:after="0" w:afterAutospacing="0"/>
              <w:ind w:right="0"/>
              <w:rPr>
                <w:rFonts w:hint="default"/>
                <w:color w:val="auto"/>
              </w:rPr>
            </w:pPr>
          </w:p>
          <w:p w14:paraId="2EEACAFF">
            <w:pPr>
              <w:pStyle w:val="4"/>
              <w:keepNext w:val="0"/>
              <w:keepLines w:val="0"/>
              <w:suppressLineNumbers w:val="0"/>
              <w:spacing w:before="0" w:beforeAutospacing="0" w:after="0" w:afterAutospacing="0"/>
              <w:ind w:right="0"/>
              <w:rPr>
                <w:rFonts w:hint="default"/>
                <w:color w:val="auto"/>
              </w:rPr>
            </w:pPr>
          </w:p>
          <w:p w14:paraId="4A94C2DF">
            <w:pPr>
              <w:pStyle w:val="4"/>
              <w:keepNext w:val="0"/>
              <w:keepLines w:val="0"/>
              <w:suppressLineNumbers w:val="0"/>
              <w:spacing w:before="0" w:beforeAutospacing="0" w:after="0" w:afterAutospacing="0"/>
              <w:ind w:right="0"/>
              <w:rPr>
                <w:rFonts w:hint="default"/>
                <w:color w:val="auto"/>
              </w:rPr>
            </w:pPr>
          </w:p>
          <w:p w14:paraId="0406E3C8">
            <w:pPr>
              <w:pStyle w:val="4"/>
              <w:keepNext w:val="0"/>
              <w:keepLines w:val="0"/>
              <w:suppressLineNumbers w:val="0"/>
              <w:spacing w:before="0" w:beforeAutospacing="0" w:after="0" w:afterAutospacing="0"/>
              <w:ind w:right="0"/>
              <w:rPr>
                <w:rFonts w:hint="default"/>
                <w:color w:val="auto"/>
              </w:rPr>
            </w:pPr>
          </w:p>
          <w:p w14:paraId="38BFDE18">
            <w:pPr>
              <w:pStyle w:val="4"/>
              <w:keepNext w:val="0"/>
              <w:keepLines w:val="0"/>
              <w:suppressLineNumbers w:val="0"/>
              <w:spacing w:before="0" w:beforeAutospacing="0" w:after="0" w:afterAutospacing="0"/>
              <w:ind w:right="0"/>
              <w:rPr>
                <w:rFonts w:hint="default"/>
                <w:color w:val="auto"/>
              </w:rPr>
            </w:pPr>
          </w:p>
          <w:p w14:paraId="108E3F9E">
            <w:pPr>
              <w:pStyle w:val="4"/>
              <w:keepNext w:val="0"/>
              <w:keepLines w:val="0"/>
              <w:suppressLineNumbers w:val="0"/>
              <w:spacing w:before="0" w:beforeAutospacing="0" w:after="0" w:afterAutospacing="0"/>
              <w:ind w:right="0"/>
              <w:rPr>
                <w:rFonts w:hint="default"/>
                <w:color w:val="auto"/>
              </w:rPr>
            </w:pPr>
          </w:p>
          <w:p w14:paraId="7618ECE8">
            <w:pPr>
              <w:pStyle w:val="4"/>
              <w:keepNext w:val="0"/>
              <w:keepLines w:val="0"/>
              <w:suppressLineNumbers w:val="0"/>
              <w:spacing w:before="0" w:beforeAutospacing="0" w:after="0" w:afterAutospacing="0"/>
              <w:ind w:right="0"/>
              <w:rPr>
                <w:rFonts w:hint="default"/>
                <w:color w:val="auto"/>
              </w:rPr>
            </w:pPr>
          </w:p>
          <w:p w14:paraId="722CD1E1">
            <w:pPr>
              <w:pStyle w:val="4"/>
              <w:keepNext w:val="0"/>
              <w:keepLines w:val="0"/>
              <w:suppressLineNumbers w:val="0"/>
              <w:spacing w:before="0" w:beforeAutospacing="0" w:after="0" w:afterAutospacing="0"/>
              <w:ind w:right="0"/>
              <w:rPr>
                <w:rFonts w:hint="default"/>
                <w:color w:val="auto"/>
              </w:rPr>
            </w:pPr>
          </w:p>
          <w:p w14:paraId="496ABB40">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191B5192">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3884B609">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26993D41">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11BEB32D">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64270FD5">
            <w:pPr>
              <w:pStyle w:val="2"/>
              <w:keepNext w:val="0"/>
              <w:keepLines w:val="0"/>
              <w:suppressLineNumbers w:val="0"/>
              <w:spacing w:before="0" w:beforeAutospacing="0" w:afterAutospacing="0"/>
              <w:ind w:right="0"/>
              <w:rPr>
                <w:rFonts w:hint="default" w:cs="宋体"/>
                <w:bCs/>
                <w:color w:val="auto"/>
                <w:szCs w:val="21"/>
              </w:rPr>
            </w:pPr>
          </w:p>
          <w:p w14:paraId="135936E0">
            <w:pPr>
              <w:pStyle w:val="3"/>
              <w:keepNext w:val="0"/>
              <w:keepLines w:val="0"/>
              <w:suppressLineNumbers w:val="0"/>
              <w:spacing w:before="0" w:beforeAutospacing="0" w:after="0" w:afterAutospacing="0"/>
              <w:ind w:left="0" w:right="0"/>
              <w:rPr>
                <w:rFonts w:hint="default"/>
                <w:color w:val="auto"/>
              </w:rPr>
            </w:pPr>
          </w:p>
          <w:p w14:paraId="4E097F9D">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7FDA5668">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6516D471">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14:paraId="44B6C912">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14:paraId="4663044F">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14:paraId="29580EFA">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14:paraId="5C9445FA">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14:paraId="0A599C42">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14:paraId="0152B9A5">
            <w:pPr>
              <w:pStyle w:val="2"/>
              <w:keepNext w:val="0"/>
              <w:keepLines w:val="0"/>
              <w:suppressLineNumbers w:val="0"/>
              <w:spacing w:before="0" w:beforeAutospacing="0" w:afterAutospacing="0"/>
              <w:ind w:right="0"/>
              <w:rPr>
                <w:rFonts w:hint="default"/>
                <w:color w:val="auto"/>
              </w:rPr>
            </w:pPr>
          </w:p>
          <w:p w14:paraId="02A90B1F">
            <w:pPr>
              <w:pStyle w:val="4"/>
              <w:keepNext w:val="0"/>
              <w:keepLines w:val="0"/>
              <w:suppressLineNumbers w:val="0"/>
              <w:spacing w:before="0" w:beforeAutospacing="0" w:after="0" w:afterAutospacing="0"/>
              <w:ind w:right="0"/>
              <w:rPr>
                <w:rFonts w:hint="default"/>
                <w:color w:val="auto"/>
              </w:rPr>
            </w:pPr>
          </w:p>
          <w:p w14:paraId="7D4E76FE">
            <w:pPr>
              <w:pStyle w:val="4"/>
              <w:keepNext w:val="0"/>
              <w:keepLines w:val="0"/>
              <w:suppressLineNumbers w:val="0"/>
              <w:spacing w:before="0" w:beforeAutospacing="0" w:after="0" w:afterAutospacing="0"/>
              <w:ind w:right="0"/>
              <w:rPr>
                <w:rFonts w:hint="default"/>
                <w:color w:val="auto"/>
              </w:rPr>
            </w:pPr>
          </w:p>
          <w:p w14:paraId="6E6FFD64">
            <w:pPr>
              <w:pStyle w:val="4"/>
              <w:keepNext w:val="0"/>
              <w:keepLines w:val="0"/>
              <w:suppressLineNumbers w:val="0"/>
              <w:spacing w:before="0" w:beforeAutospacing="0" w:after="0" w:afterAutospacing="0"/>
              <w:ind w:right="0"/>
              <w:rPr>
                <w:rFonts w:hint="default"/>
                <w:color w:val="auto"/>
              </w:rPr>
            </w:pPr>
          </w:p>
          <w:p w14:paraId="4306F0F0">
            <w:pPr>
              <w:pStyle w:val="4"/>
              <w:keepNext w:val="0"/>
              <w:keepLines w:val="0"/>
              <w:suppressLineNumbers w:val="0"/>
              <w:spacing w:before="0" w:beforeAutospacing="0" w:after="0" w:afterAutospacing="0"/>
              <w:ind w:right="0"/>
              <w:rPr>
                <w:rFonts w:hint="default"/>
                <w:color w:val="auto"/>
              </w:rPr>
            </w:pPr>
          </w:p>
          <w:p w14:paraId="1BE82A7B">
            <w:pPr>
              <w:pStyle w:val="4"/>
              <w:keepNext w:val="0"/>
              <w:keepLines w:val="0"/>
              <w:suppressLineNumbers w:val="0"/>
              <w:spacing w:before="0" w:beforeAutospacing="0" w:after="0" w:afterAutospacing="0"/>
              <w:ind w:right="0"/>
              <w:rPr>
                <w:rFonts w:hint="default"/>
                <w:color w:val="auto"/>
              </w:rPr>
            </w:pPr>
          </w:p>
          <w:p w14:paraId="440F7AB3">
            <w:pPr>
              <w:pStyle w:val="4"/>
              <w:keepNext w:val="0"/>
              <w:keepLines w:val="0"/>
              <w:suppressLineNumbers w:val="0"/>
              <w:spacing w:before="0" w:beforeAutospacing="0" w:after="0" w:afterAutospacing="0"/>
              <w:ind w:right="0"/>
              <w:rPr>
                <w:rFonts w:hint="default"/>
                <w:color w:val="auto"/>
              </w:rPr>
            </w:pPr>
          </w:p>
          <w:p w14:paraId="562CC7C2">
            <w:pPr>
              <w:pStyle w:val="4"/>
              <w:keepNext w:val="0"/>
              <w:keepLines w:val="0"/>
              <w:suppressLineNumbers w:val="0"/>
              <w:spacing w:before="0" w:beforeAutospacing="0" w:after="0" w:afterAutospacing="0"/>
              <w:ind w:right="0"/>
              <w:rPr>
                <w:rFonts w:hint="default"/>
                <w:color w:val="auto"/>
              </w:rPr>
            </w:pPr>
          </w:p>
          <w:p w14:paraId="68278FB1">
            <w:pPr>
              <w:pStyle w:val="4"/>
              <w:keepNext w:val="0"/>
              <w:keepLines w:val="0"/>
              <w:suppressLineNumbers w:val="0"/>
              <w:spacing w:before="0" w:beforeAutospacing="0" w:after="0" w:afterAutospacing="0"/>
              <w:ind w:right="0"/>
              <w:rPr>
                <w:rFonts w:hint="default"/>
                <w:color w:val="auto"/>
              </w:rPr>
            </w:pPr>
          </w:p>
          <w:p w14:paraId="4D8C36B9">
            <w:pPr>
              <w:pStyle w:val="4"/>
              <w:keepNext w:val="0"/>
              <w:keepLines w:val="0"/>
              <w:suppressLineNumbers w:val="0"/>
              <w:spacing w:before="0" w:beforeAutospacing="0" w:after="0" w:afterAutospacing="0"/>
              <w:ind w:right="0"/>
              <w:rPr>
                <w:rFonts w:hint="default"/>
                <w:color w:val="auto"/>
              </w:rPr>
            </w:pPr>
          </w:p>
          <w:p w14:paraId="2E12CF4D">
            <w:pPr>
              <w:pStyle w:val="4"/>
              <w:keepNext w:val="0"/>
              <w:keepLines w:val="0"/>
              <w:suppressLineNumbers w:val="0"/>
              <w:spacing w:before="0" w:beforeAutospacing="0" w:after="0" w:afterAutospacing="0"/>
              <w:ind w:right="0"/>
              <w:rPr>
                <w:rFonts w:hint="default"/>
                <w:color w:val="auto"/>
              </w:rPr>
            </w:pPr>
          </w:p>
          <w:p w14:paraId="39F3BF59">
            <w:pPr>
              <w:pStyle w:val="4"/>
              <w:keepNext w:val="0"/>
              <w:keepLines w:val="0"/>
              <w:suppressLineNumbers w:val="0"/>
              <w:spacing w:before="0" w:beforeAutospacing="0" w:after="0" w:afterAutospacing="0"/>
              <w:ind w:right="0"/>
              <w:rPr>
                <w:rFonts w:hint="default"/>
                <w:color w:val="auto"/>
              </w:rPr>
            </w:pPr>
          </w:p>
          <w:p w14:paraId="44FAB66F">
            <w:pPr>
              <w:pStyle w:val="4"/>
              <w:keepNext w:val="0"/>
              <w:keepLines w:val="0"/>
              <w:suppressLineNumbers w:val="0"/>
              <w:spacing w:before="0" w:beforeAutospacing="0" w:after="0" w:afterAutospacing="0"/>
              <w:ind w:right="0"/>
              <w:rPr>
                <w:rFonts w:hint="default"/>
                <w:color w:val="auto"/>
              </w:rPr>
            </w:pPr>
          </w:p>
          <w:p w14:paraId="7FAF4D87">
            <w:pPr>
              <w:pStyle w:val="4"/>
              <w:keepNext w:val="0"/>
              <w:keepLines w:val="0"/>
              <w:suppressLineNumbers w:val="0"/>
              <w:spacing w:before="0" w:beforeAutospacing="0" w:after="0" w:afterAutospacing="0"/>
              <w:ind w:right="0"/>
              <w:rPr>
                <w:rFonts w:hint="default"/>
                <w:color w:val="auto"/>
              </w:rPr>
            </w:pPr>
          </w:p>
          <w:p w14:paraId="5F13D2E4">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2F24FD65">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6A435743">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79964EB3">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75FCD0E4">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283D17B1">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09C40865">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6DFE85DA">
            <w:pPr>
              <w:pStyle w:val="2"/>
              <w:keepNext w:val="0"/>
              <w:keepLines w:val="0"/>
              <w:suppressLineNumbers w:val="0"/>
              <w:spacing w:before="0" w:beforeAutospacing="0" w:afterAutospacing="0"/>
              <w:ind w:right="0"/>
              <w:rPr>
                <w:rFonts w:hint="default" w:cs="宋体"/>
                <w:bCs/>
                <w:color w:val="auto"/>
                <w:szCs w:val="21"/>
              </w:rPr>
            </w:pPr>
          </w:p>
          <w:p w14:paraId="1109090D">
            <w:pPr>
              <w:pStyle w:val="3"/>
              <w:keepNext w:val="0"/>
              <w:keepLines w:val="0"/>
              <w:suppressLineNumbers w:val="0"/>
              <w:spacing w:before="0" w:beforeAutospacing="0" w:after="0" w:afterAutospacing="0"/>
              <w:ind w:left="0" w:right="0"/>
              <w:rPr>
                <w:rFonts w:hint="default" w:cs="宋体"/>
                <w:bCs/>
                <w:color w:val="auto"/>
                <w:szCs w:val="21"/>
              </w:rPr>
            </w:pPr>
          </w:p>
          <w:p w14:paraId="61E54830">
            <w:pPr>
              <w:pStyle w:val="4"/>
              <w:keepNext w:val="0"/>
              <w:keepLines w:val="0"/>
              <w:suppressLineNumbers w:val="0"/>
              <w:spacing w:before="0" w:beforeAutospacing="0" w:after="0" w:afterAutospacing="0"/>
              <w:ind w:right="0"/>
              <w:rPr>
                <w:rFonts w:hint="default"/>
                <w:color w:val="auto"/>
              </w:rPr>
            </w:pPr>
          </w:p>
          <w:p w14:paraId="16145B60">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7AEED18D">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0025AB73">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2225B05C">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0E1FE282">
            <w:pPr>
              <w:pStyle w:val="2"/>
              <w:keepNext w:val="0"/>
              <w:keepLines w:val="0"/>
              <w:suppressLineNumbers w:val="0"/>
              <w:spacing w:before="0" w:beforeAutospacing="0" w:afterAutospacing="0"/>
              <w:ind w:right="0"/>
              <w:rPr>
                <w:rFonts w:hint="default" w:cs="宋体"/>
                <w:bCs/>
                <w:color w:val="auto"/>
                <w:szCs w:val="21"/>
              </w:rPr>
            </w:pPr>
          </w:p>
          <w:p w14:paraId="7370C63A">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p>
          <w:p w14:paraId="4DD8AFD6">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运营</w:t>
            </w:r>
          </w:p>
          <w:p w14:paraId="644EA4E1">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期环</w:t>
            </w:r>
          </w:p>
          <w:p w14:paraId="4EA859DE">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境影</w:t>
            </w:r>
          </w:p>
          <w:p w14:paraId="022EDDAA">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响和</w:t>
            </w:r>
          </w:p>
          <w:p w14:paraId="1402DF07">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保护</w:t>
            </w:r>
          </w:p>
          <w:p w14:paraId="01A40B89">
            <w:pPr>
              <w:keepNext w:val="0"/>
              <w:keepLines w:val="0"/>
              <w:suppressLineNumbers w:val="0"/>
              <w:adjustRightInd w:val="0"/>
              <w:snapToGrid w:val="0"/>
              <w:spacing w:before="0" w:beforeAutospacing="0" w:after="0" w:afterAutospacing="0"/>
              <w:ind w:left="0" w:right="0"/>
              <w:jc w:val="center"/>
              <w:rPr>
                <w:rFonts w:hint="default" w:cs="宋体"/>
                <w:bCs/>
                <w:color w:val="auto"/>
                <w:szCs w:val="21"/>
              </w:rPr>
            </w:pPr>
            <w:r>
              <w:rPr>
                <w:rFonts w:hint="eastAsia" w:cs="宋体"/>
                <w:bCs/>
                <w:color w:val="auto"/>
                <w:szCs w:val="21"/>
              </w:rPr>
              <w:t>措施</w:t>
            </w:r>
          </w:p>
          <w:p w14:paraId="716E8A5C">
            <w:pPr>
              <w:pStyle w:val="2"/>
              <w:keepNext w:val="0"/>
              <w:keepLines w:val="0"/>
              <w:suppressLineNumbers w:val="0"/>
              <w:spacing w:before="0" w:beforeAutospacing="0" w:afterAutospacing="0"/>
              <w:ind w:right="0"/>
              <w:rPr>
                <w:rFonts w:hint="default"/>
                <w:color w:val="auto"/>
              </w:rPr>
            </w:pPr>
          </w:p>
          <w:p w14:paraId="0563C200">
            <w:pPr>
              <w:pStyle w:val="4"/>
              <w:keepNext w:val="0"/>
              <w:keepLines w:val="0"/>
              <w:suppressLineNumbers w:val="0"/>
              <w:spacing w:before="0" w:beforeAutospacing="0" w:after="0" w:afterAutospacing="0"/>
              <w:ind w:right="0"/>
              <w:rPr>
                <w:rFonts w:hint="default"/>
                <w:color w:val="auto"/>
              </w:rPr>
            </w:pPr>
          </w:p>
        </w:tc>
        <w:tc>
          <w:tcPr>
            <w:tcW w:w="8154" w:type="dxa"/>
            <w:tcBorders>
              <w:top w:val="single" w:color="auto" w:sz="4" w:space="0"/>
              <w:left w:val="single" w:color="auto" w:sz="4" w:space="0"/>
              <w:bottom w:val="single" w:color="auto" w:sz="8" w:space="0"/>
              <w:right w:val="single" w:color="auto" w:sz="8" w:space="0"/>
            </w:tcBorders>
            <w:vAlign w:val="center"/>
          </w:tcPr>
          <w:p w14:paraId="243C51CF">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szCs w:val="21"/>
              </w:rPr>
            </w:pPr>
            <w:r>
              <w:rPr>
                <w:rFonts w:hint="eastAsia" w:eastAsia="黑体" w:cs="宋体"/>
                <w:color w:val="auto"/>
                <w:kern w:val="0"/>
                <w:szCs w:val="21"/>
              </w:rPr>
              <w:t>1、废气</w:t>
            </w:r>
          </w:p>
          <w:p w14:paraId="25F58E88">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（1）源强核算及治理措施</w:t>
            </w:r>
          </w:p>
          <w:p w14:paraId="3DD7E8E7">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①医疗废气</w:t>
            </w:r>
          </w:p>
          <w:p w14:paraId="627CC3ED">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default"/>
                <w:color w:val="auto"/>
                <w:szCs w:val="21"/>
              </w:rPr>
              <w:t>本项目建成投入使用后，</w:t>
            </w:r>
            <w:r>
              <w:rPr>
                <w:rFonts w:hint="eastAsia"/>
                <w:color w:val="auto"/>
                <w:szCs w:val="21"/>
              </w:rPr>
              <w:t>病房等定期采</w:t>
            </w:r>
            <w:r>
              <w:rPr>
                <w:rFonts w:hint="default"/>
                <w:color w:val="auto"/>
                <w:szCs w:val="21"/>
              </w:rPr>
              <w:t>用84消毒液对地面进行消毒</w:t>
            </w:r>
            <w:r>
              <w:rPr>
                <w:rFonts w:hint="eastAsia"/>
                <w:color w:val="auto"/>
                <w:szCs w:val="21"/>
              </w:rPr>
              <w:t>，</w:t>
            </w:r>
            <w:r>
              <w:rPr>
                <w:rFonts w:hint="default"/>
                <w:color w:val="auto"/>
                <w:szCs w:val="21"/>
              </w:rPr>
              <w:t>消毒液等散发的异味，对人体和环境空气不会产生危害</w:t>
            </w:r>
            <w:r>
              <w:rPr>
                <w:rFonts w:hint="eastAsia"/>
                <w:color w:val="auto"/>
                <w:szCs w:val="21"/>
              </w:rPr>
              <w:t>。</w:t>
            </w:r>
          </w:p>
          <w:p w14:paraId="7059A41C">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default" w:ascii="宋体" w:hAnsi="宋体"/>
                <w:color w:val="auto"/>
              </w:rPr>
              <w:t>医院</w:t>
            </w:r>
            <w:r>
              <w:rPr>
                <w:rFonts w:hint="eastAsia" w:ascii="宋体" w:hAnsi="宋体"/>
                <w:color w:val="auto"/>
                <w:lang w:val="en-US" w:eastAsia="zh-CN"/>
              </w:rPr>
              <w:t>治疗室</w:t>
            </w:r>
            <w:r>
              <w:rPr>
                <w:rFonts w:hint="default" w:ascii="宋体" w:hAnsi="宋体"/>
                <w:color w:val="auto"/>
              </w:rPr>
              <w:t>、检验室等产生医疗废气，</w:t>
            </w:r>
            <w:r>
              <w:rPr>
                <w:rFonts w:hint="eastAsia" w:ascii="宋体" w:hAnsi="宋体"/>
                <w:color w:val="auto"/>
              </w:rPr>
              <w:t>主要为检验试剂药品等的挥发物，主要为酸雾、</w:t>
            </w:r>
            <w:r>
              <w:rPr>
                <w:rFonts w:hint="eastAsia"/>
                <w:color w:val="auto"/>
              </w:rPr>
              <w:t>VOCs</w:t>
            </w:r>
            <w:r>
              <w:rPr>
                <w:rFonts w:hint="eastAsia" w:ascii="宋体" w:hAnsi="宋体"/>
                <w:color w:val="auto"/>
              </w:rPr>
              <w:t>等，产生量极小，</w:t>
            </w:r>
            <w:r>
              <w:rPr>
                <w:rFonts w:hint="default" w:ascii="宋体" w:hAnsi="宋体"/>
                <w:color w:val="auto"/>
              </w:rPr>
              <w:t>通过对手术室、检验室采取通风措施，对周围环境影响很小。</w:t>
            </w:r>
            <w:r>
              <w:rPr>
                <w:rFonts w:hint="eastAsia"/>
                <w:color w:val="auto"/>
                <w:szCs w:val="21"/>
              </w:rPr>
              <w:t>通过对检验室采取通风措施，废气经收集至排气设备收集后引至楼顶排放，对周围环境影响很小。</w:t>
            </w:r>
          </w:p>
          <w:p w14:paraId="3C17AD94">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②污水站的恶臭</w:t>
            </w:r>
          </w:p>
          <w:p w14:paraId="208B6F96">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default" w:ascii="宋体" w:hAnsi="宋体"/>
                <w:color w:val="auto"/>
              </w:rPr>
              <w:t>本项目</w:t>
            </w:r>
            <w:r>
              <w:rPr>
                <w:rFonts w:hint="eastAsia" w:ascii="宋体" w:hAnsi="宋体"/>
                <w:color w:val="auto"/>
              </w:rPr>
              <w:t>自建有一套污水处理设施，</w:t>
            </w:r>
            <w:r>
              <w:rPr>
                <w:rFonts w:hint="default" w:ascii="宋体" w:hAnsi="宋体"/>
                <w:color w:val="auto"/>
              </w:rPr>
              <w:t>运行中伴随着微生物、原生动物、菌群等生物的新陈代，会产生少量的恶臭废气。</w:t>
            </w:r>
            <w:r>
              <w:rPr>
                <w:rFonts w:hint="eastAsia" w:ascii="宋体" w:hAnsi="宋体"/>
                <w:color w:val="auto"/>
              </w:rPr>
              <w:t>恶臭废</w:t>
            </w:r>
            <w:r>
              <w:rPr>
                <w:rFonts w:hint="default" w:ascii="宋体" w:hAnsi="宋体"/>
                <w:color w:val="auto"/>
              </w:rPr>
              <w:t>气为含</w:t>
            </w:r>
            <w:r>
              <w:rPr>
                <w:rFonts w:hint="default"/>
                <w:color w:val="auto"/>
              </w:rPr>
              <w:t>NH</w:t>
            </w:r>
            <w:r>
              <w:rPr>
                <w:rFonts w:hint="default"/>
                <w:color w:val="auto"/>
                <w:vertAlign w:val="subscript"/>
              </w:rPr>
              <w:t>3</w:t>
            </w:r>
            <w:r>
              <w:rPr>
                <w:rFonts w:hint="default" w:ascii="宋体" w:hAnsi="宋体"/>
                <w:color w:val="auto"/>
              </w:rPr>
              <w:t>、</w:t>
            </w:r>
            <w:r>
              <w:rPr>
                <w:rFonts w:hint="default"/>
                <w:color w:val="auto"/>
              </w:rPr>
              <w:t>H</w:t>
            </w:r>
            <w:r>
              <w:rPr>
                <w:rFonts w:hint="default"/>
                <w:color w:val="auto"/>
                <w:vertAlign w:val="subscript"/>
              </w:rPr>
              <w:t>2</w:t>
            </w:r>
            <w:r>
              <w:rPr>
                <w:rFonts w:hint="default"/>
                <w:color w:val="auto"/>
              </w:rPr>
              <w:t>S</w:t>
            </w:r>
            <w:r>
              <w:rPr>
                <w:rFonts w:hint="default" w:ascii="宋体" w:hAnsi="宋体"/>
                <w:color w:val="auto"/>
              </w:rPr>
              <w:t>、甲硫醇、甲硫醚、三甲胺、胺、细菌和大肠菌等多种杂</w:t>
            </w:r>
            <w:r>
              <w:rPr>
                <w:rFonts w:hint="eastAsia" w:ascii="宋体" w:hAnsi="宋体"/>
                <w:color w:val="auto"/>
              </w:rPr>
              <w:t>成分的</w:t>
            </w:r>
            <w:r>
              <w:rPr>
                <w:rFonts w:hint="default" w:ascii="宋体" w:hAnsi="宋体"/>
                <w:color w:val="auto"/>
              </w:rPr>
              <w:t>混合性气体，其中主要为硫化氢、氨。根据相关研究，每处理</w:t>
            </w:r>
            <w:r>
              <w:rPr>
                <w:rFonts w:hint="default"/>
                <w:color w:val="auto"/>
              </w:rPr>
              <w:t>lg</w:t>
            </w:r>
            <w:r>
              <w:rPr>
                <w:rFonts w:hint="default" w:ascii="宋体" w:hAnsi="宋体"/>
                <w:color w:val="auto"/>
              </w:rPr>
              <w:t>的</w:t>
            </w:r>
            <w:r>
              <w:rPr>
                <w:rFonts w:hint="default"/>
                <w:color w:val="auto"/>
              </w:rPr>
              <w:t>BOD</w:t>
            </w:r>
            <w:r>
              <w:rPr>
                <w:rFonts w:hint="default"/>
                <w:color w:val="auto"/>
                <w:vertAlign w:val="subscript"/>
              </w:rPr>
              <w:t>5</w:t>
            </w:r>
            <w:r>
              <w:rPr>
                <w:rFonts w:hint="default" w:ascii="宋体" w:hAnsi="宋体"/>
                <w:color w:val="auto"/>
              </w:rPr>
              <w:t>可产生</w:t>
            </w:r>
            <w:r>
              <w:rPr>
                <w:rFonts w:hint="default"/>
                <w:color w:val="auto"/>
              </w:rPr>
              <w:t>0.0031g</w:t>
            </w:r>
            <w:r>
              <w:rPr>
                <w:rFonts w:hint="default" w:ascii="宋体" w:hAnsi="宋体"/>
                <w:color w:val="auto"/>
              </w:rPr>
              <w:t>的</w:t>
            </w:r>
            <w:r>
              <w:rPr>
                <w:rFonts w:hint="default"/>
                <w:color w:val="auto"/>
              </w:rPr>
              <w:t>NH</w:t>
            </w:r>
            <w:r>
              <w:rPr>
                <w:rFonts w:hint="default"/>
                <w:color w:val="auto"/>
                <w:vertAlign w:val="subscript"/>
              </w:rPr>
              <w:t>3</w:t>
            </w:r>
            <w:r>
              <w:rPr>
                <w:rFonts w:hint="default" w:ascii="宋体" w:hAnsi="宋体"/>
                <w:color w:val="auto"/>
              </w:rPr>
              <w:t>和</w:t>
            </w:r>
            <w:r>
              <w:rPr>
                <w:rFonts w:hint="default"/>
                <w:color w:val="auto"/>
              </w:rPr>
              <w:t>0.00012g</w:t>
            </w:r>
            <w:r>
              <w:rPr>
                <w:rFonts w:hint="default" w:ascii="宋体" w:hAnsi="宋体"/>
                <w:color w:val="auto"/>
              </w:rPr>
              <w:t>的</w:t>
            </w:r>
            <w:r>
              <w:rPr>
                <w:rFonts w:hint="default"/>
                <w:color w:val="auto"/>
              </w:rPr>
              <w:t>H</w:t>
            </w:r>
            <w:r>
              <w:rPr>
                <w:rFonts w:hint="default"/>
                <w:color w:val="auto"/>
                <w:vertAlign w:val="subscript"/>
              </w:rPr>
              <w:t>2</w:t>
            </w:r>
            <w:r>
              <w:rPr>
                <w:rFonts w:hint="default"/>
                <w:color w:val="auto"/>
              </w:rPr>
              <w:t>S</w:t>
            </w:r>
            <w:r>
              <w:rPr>
                <w:rFonts w:hint="default" w:ascii="宋体" w:hAnsi="宋体"/>
                <w:color w:val="auto"/>
              </w:rPr>
              <w:t>。经计算</w:t>
            </w:r>
            <w:r>
              <w:rPr>
                <w:rFonts w:hint="default"/>
                <w:color w:val="auto"/>
                <w:szCs w:val="21"/>
              </w:rPr>
              <w:t>本污水站削减BOD</w:t>
            </w:r>
            <w:r>
              <w:rPr>
                <w:rFonts w:hint="default"/>
                <w:color w:val="auto"/>
                <w:szCs w:val="21"/>
                <w:vertAlign w:val="subscript"/>
              </w:rPr>
              <w:t>5</w:t>
            </w:r>
            <w:r>
              <w:rPr>
                <w:rFonts w:hint="default"/>
                <w:color w:val="auto"/>
                <w:szCs w:val="21"/>
              </w:rPr>
              <w:t>的量为</w:t>
            </w:r>
            <w:r>
              <w:rPr>
                <w:rFonts w:hint="eastAsia"/>
                <w:color w:val="auto"/>
                <w:szCs w:val="21"/>
              </w:rPr>
              <w:t>0.</w:t>
            </w:r>
            <w:r>
              <w:rPr>
                <w:rFonts w:hint="eastAsia"/>
                <w:color w:val="auto"/>
                <w:szCs w:val="21"/>
                <w:lang w:val="en-US" w:eastAsia="zh-CN"/>
              </w:rPr>
              <w:t>53</w:t>
            </w:r>
            <w:r>
              <w:rPr>
                <w:rFonts w:hint="default"/>
                <w:color w:val="auto"/>
                <w:szCs w:val="21"/>
              </w:rPr>
              <w:t>t/a，则NH</w:t>
            </w:r>
            <w:r>
              <w:rPr>
                <w:rFonts w:hint="default"/>
                <w:color w:val="auto"/>
                <w:szCs w:val="21"/>
                <w:vertAlign w:val="subscript"/>
              </w:rPr>
              <w:t>3</w:t>
            </w:r>
            <w:r>
              <w:rPr>
                <w:rFonts w:hint="default"/>
                <w:color w:val="auto"/>
                <w:szCs w:val="21"/>
              </w:rPr>
              <w:t>的产生量为0.00</w:t>
            </w:r>
            <w:r>
              <w:rPr>
                <w:rFonts w:hint="eastAsia"/>
                <w:color w:val="auto"/>
                <w:szCs w:val="21"/>
              </w:rPr>
              <w:t>1</w:t>
            </w:r>
            <w:r>
              <w:rPr>
                <w:rFonts w:hint="eastAsia"/>
                <w:color w:val="auto"/>
                <w:szCs w:val="21"/>
                <w:lang w:val="en-US" w:eastAsia="zh-CN"/>
              </w:rPr>
              <w:t>6</w:t>
            </w:r>
            <w:r>
              <w:rPr>
                <w:rFonts w:hint="default"/>
                <w:color w:val="auto"/>
                <w:szCs w:val="21"/>
              </w:rPr>
              <w:t>t/a，H</w:t>
            </w:r>
            <w:r>
              <w:rPr>
                <w:rFonts w:hint="default"/>
                <w:color w:val="auto"/>
                <w:szCs w:val="21"/>
                <w:vertAlign w:val="subscript"/>
              </w:rPr>
              <w:t>2</w:t>
            </w:r>
            <w:r>
              <w:rPr>
                <w:rFonts w:hint="default"/>
                <w:color w:val="auto"/>
                <w:szCs w:val="21"/>
              </w:rPr>
              <w:t>S的产生量为</w:t>
            </w:r>
            <w:r>
              <w:rPr>
                <w:rFonts w:hint="eastAsia"/>
                <w:color w:val="auto"/>
                <w:szCs w:val="21"/>
                <w:lang w:val="en-US" w:eastAsia="zh-CN"/>
              </w:rPr>
              <w:t>6.4</w:t>
            </w:r>
            <w:r>
              <w:rPr>
                <w:rFonts w:hint="eastAsia"/>
                <w:color w:val="auto"/>
                <w:szCs w:val="21"/>
              </w:rPr>
              <w:t>x10</w:t>
            </w:r>
            <w:r>
              <w:rPr>
                <w:rFonts w:hint="eastAsia"/>
                <w:color w:val="auto"/>
                <w:szCs w:val="21"/>
                <w:vertAlign w:val="superscript"/>
              </w:rPr>
              <w:t>-5</w:t>
            </w:r>
            <w:r>
              <w:rPr>
                <w:rFonts w:hint="default"/>
                <w:color w:val="auto"/>
                <w:szCs w:val="21"/>
              </w:rPr>
              <w:t>t/a。</w:t>
            </w:r>
          </w:p>
          <w:p w14:paraId="1AF6BAE1">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color w:val="auto"/>
                <w:szCs w:val="21"/>
              </w:rPr>
            </w:pPr>
            <w:r>
              <w:rPr>
                <w:rFonts w:hint="default"/>
                <w:b/>
                <w:color w:val="auto"/>
                <w:szCs w:val="21"/>
              </w:rPr>
              <w:t>拟采取的治理措施：</w:t>
            </w:r>
            <w:r>
              <w:rPr>
                <w:rFonts w:hint="eastAsia"/>
                <w:color w:val="auto"/>
                <w:szCs w:val="21"/>
              </w:rPr>
              <w:t>①平时运行时关闭污水间窗户，实现封闭运行，减少恶臭气体逸散至环境的量。②污水站各构筑物池体加盖，仅留有通气口，污水处理间的窗户设换气扇。③对处理间及四周适时喷洒生物除臭剂等措施，降低臭气对周围大气环境的影响。</w:t>
            </w:r>
            <w:r>
              <w:rPr>
                <w:rFonts w:hint="eastAsia"/>
                <w:color w:val="auto"/>
                <w:szCs w:val="21"/>
                <w:lang w:val="en-US" w:eastAsia="zh-CN"/>
              </w:rPr>
              <w:t>通过采取</w:t>
            </w:r>
            <w:r>
              <w:rPr>
                <w:rFonts w:hint="eastAsia"/>
                <w:color w:val="auto"/>
                <w:szCs w:val="21"/>
              </w:rPr>
              <w:t>上述的恶臭治理措施，日常营运时加强管理，降低对周围环境的污染影响。</w:t>
            </w:r>
          </w:p>
          <w:p w14:paraId="7E607ABB">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采取上述措施后，恶臭的处理效率取50%，废水处理站NH</w:t>
            </w:r>
            <w:r>
              <w:rPr>
                <w:rFonts w:hint="eastAsia"/>
                <w:color w:val="auto"/>
                <w:szCs w:val="21"/>
                <w:vertAlign w:val="subscript"/>
              </w:rPr>
              <w:t>3</w:t>
            </w:r>
            <w:r>
              <w:rPr>
                <w:rFonts w:hint="eastAsia"/>
                <w:color w:val="auto"/>
                <w:szCs w:val="21"/>
              </w:rPr>
              <w:t>的排放量为0.000</w:t>
            </w:r>
            <w:r>
              <w:rPr>
                <w:rFonts w:hint="eastAsia"/>
                <w:color w:val="auto"/>
                <w:szCs w:val="21"/>
                <w:lang w:val="en-US" w:eastAsia="zh-CN"/>
              </w:rPr>
              <w:t>8</w:t>
            </w:r>
            <w:r>
              <w:rPr>
                <w:rFonts w:hint="eastAsia"/>
                <w:color w:val="auto"/>
                <w:szCs w:val="21"/>
              </w:rPr>
              <w:t>t/a（排放速率</w:t>
            </w:r>
            <w:r>
              <w:rPr>
                <w:rFonts w:hint="eastAsia"/>
                <w:color w:val="auto"/>
                <w:szCs w:val="21"/>
                <w:lang w:val="en-US" w:eastAsia="zh-CN"/>
              </w:rPr>
              <w:t>9.13</w:t>
            </w:r>
            <w:r>
              <w:rPr>
                <w:rFonts w:hint="eastAsia"/>
                <w:color w:val="auto"/>
                <w:szCs w:val="21"/>
              </w:rPr>
              <w:t>x10</w:t>
            </w:r>
            <w:r>
              <w:rPr>
                <w:rFonts w:hint="eastAsia"/>
                <w:color w:val="auto"/>
                <w:szCs w:val="21"/>
                <w:vertAlign w:val="superscript"/>
              </w:rPr>
              <w:t>-5</w:t>
            </w:r>
            <w:r>
              <w:rPr>
                <w:rFonts w:hint="eastAsia"/>
                <w:color w:val="auto"/>
                <w:szCs w:val="21"/>
              </w:rPr>
              <w:t>kg/h），H</w:t>
            </w:r>
            <w:r>
              <w:rPr>
                <w:rFonts w:hint="eastAsia"/>
                <w:color w:val="auto"/>
                <w:szCs w:val="21"/>
                <w:vertAlign w:val="subscript"/>
              </w:rPr>
              <w:t>2</w:t>
            </w:r>
            <w:r>
              <w:rPr>
                <w:rFonts w:hint="eastAsia"/>
                <w:color w:val="auto"/>
                <w:szCs w:val="21"/>
              </w:rPr>
              <w:t>S的排放量为</w:t>
            </w:r>
            <w:r>
              <w:rPr>
                <w:rFonts w:hint="eastAsia"/>
                <w:color w:val="auto"/>
                <w:szCs w:val="21"/>
                <w:lang w:val="en-US" w:eastAsia="zh-CN"/>
              </w:rPr>
              <w:t>3.2</w:t>
            </w:r>
            <w:r>
              <w:rPr>
                <w:rFonts w:hint="eastAsia"/>
                <w:color w:val="auto"/>
                <w:szCs w:val="21"/>
              </w:rPr>
              <w:t>x10</w:t>
            </w:r>
            <w:r>
              <w:rPr>
                <w:rFonts w:hint="eastAsia"/>
                <w:color w:val="auto"/>
                <w:szCs w:val="21"/>
                <w:vertAlign w:val="superscript"/>
              </w:rPr>
              <w:t>-5</w:t>
            </w:r>
            <w:r>
              <w:rPr>
                <w:rFonts w:hint="default"/>
                <w:color w:val="auto"/>
                <w:szCs w:val="21"/>
              </w:rPr>
              <w:t>t/a</w:t>
            </w:r>
            <w:r>
              <w:rPr>
                <w:rFonts w:hint="eastAsia"/>
                <w:color w:val="auto"/>
                <w:szCs w:val="21"/>
              </w:rPr>
              <w:t>（排放速率</w:t>
            </w:r>
            <w:r>
              <w:rPr>
                <w:rFonts w:hint="eastAsia"/>
                <w:color w:val="auto"/>
                <w:szCs w:val="21"/>
                <w:lang w:val="en-US" w:eastAsia="zh-CN"/>
              </w:rPr>
              <w:t>3.65</w:t>
            </w:r>
            <w:r>
              <w:rPr>
                <w:rFonts w:hint="eastAsia"/>
                <w:color w:val="auto"/>
                <w:szCs w:val="21"/>
              </w:rPr>
              <w:t>x10</w:t>
            </w:r>
            <w:r>
              <w:rPr>
                <w:rFonts w:hint="eastAsia"/>
                <w:color w:val="auto"/>
                <w:szCs w:val="21"/>
                <w:vertAlign w:val="superscript"/>
              </w:rPr>
              <w:t>-6</w:t>
            </w:r>
            <w:r>
              <w:rPr>
                <w:rFonts w:hint="eastAsia"/>
                <w:color w:val="auto"/>
                <w:szCs w:val="21"/>
              </w:rPr>
              <w:t>kg/h）</w:t>
            </w:r>
            <w:r>
              <w:rPr>
                <w:rFonts w:hint="default"/>
                <w:color w:val="auto"/>
                <w:szCs w:val="21"/>
              </w:rPr>
              <w:t>，</w:t>
            </w:r>
            <w:r>
              <w:rPr>
                <w:rFonts w:hint="eastAsia"/>
                <w:color w:val="auto"/>
                <w:szCs w:val="21"/>
              </w:rPr>
              <w:t>不会对周围环境造成污染影响，</w:t>
            </w:r>
            <w:r>
              <w:rPr>
                <w:rFonts w:hint="default"/>
                <w:color w:val="auto"/>
                <w:szCs w:val="21"/>
              </w:rPr>
              <w:t>能够满足《</w:t>
            </w:r>
            <w:r>
              <w:rPr>
                <w:rFonts w:hint="eastAsia"/>
                <w:color w:val="auto"/>
                <w:szCs w:val="21"/>
              </w:rPr>
              <w:t>医疗机构水污染物排放标准</w:t>
            </w:r>
            <w:r>
              <w:rPr>
                <w:rFonts w:hint="default"/>
                <w:color w:val="auto"/>
                <w:szCs w:val="21"/>
              </w:rPr>
              <w:t>》</w:t>
            </w:r>
            <w:r>
              <w:rPr>
                <w:rFonts w:hint="eastAsia"/>
                <w:color w:val="auto"/>
                <w:szCs w:val="21"/>
              </w:rPr>
              <w:t>(GB18466-2005)中的排放限值要求。</w:t>
            </w:r>
          </w:p>
          <w:p w14:paraId="24F189E8">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eastAsia="宋体"/>
                <w:color w:val="auto"/>
                <w:szCs w:val="21"/>
                <w:lang w:val="en-US" w:eastAsia="zh-CN"/>
              </w:rPr>
            </w:pPr>
            <w:r>
              <w:rPr>
                <w:rFonts w:hint="eastAsia"/>
                <w:color w:val="auto"/>
                <w:szCs w:val="21"/>
              </w:rPr>
              <w:t>③</w:t>
            </w:r>
            <w:r>
              <w:rPr>
                <w:rFonts w:hint="eastAsia"/>
                <w:color w:val="auto"/>
                <w:szCs w:val="21"/>
                <w:lang w:val="en-US" w:eastAsia="zh-CN"/>
              </w:rPr>
              <w:t>中药煎熬废气</w:t>
            </w:r>
          </w:p>
          <w:p w14:paraId="2C57C24C">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eastAsia="宋体"/>
                <w:color w:val="auto"/>
                <w:szCs w:val="21"/>
                <w:lang w:val="en-US" w:eastAsia="zh-CN"/>
              </w:rPr>
            </w:pPr>
            <w:r>
              <w:rPr>
                <w:rFonts w:hint="default"/>
                <w:color w:val="auto"/>
                <w:szCs w:val="21"/>
              </w:rPr>
              <w:t>本项目</w:t>
            </w:r>
            <w:r>
              <w:rPr>
                <w:rFonts w:hint="eastAsia"/>
                <w:color w:val="auto"/>
                <w:szCs w:val="21"/>
                <w:lang w:val="en-US" w:eastAsia="zh-CN"/>
              </w:rPr>
              <w:t>在医疗楼一楼设有中药煎熬室，利用煎药设备（电加热）将成副中药进行煎煮。项目采用的中药均为植物草药，在煎药、包装过程中仅产生少量中药异味及水蒸气。。本项目中药煎煮主要是利用煎药设备(电加热&gt;将成副中药进行煎煮，项目采用的中药均为植物草药，</w:t>
            </w:r>
            <w:r>
              <w:rPr>
                <w:rFonts w:hint="eastAsia"/>
                <w:color w:val="auto"/>
                <w:szCs w:val="21"/>
              </w:rPr>
              <w:t>不添加雄黄、朱砂等含重金属的成分</w:t>
            </w:r>
            <w:r>
              <w:rPr>
                <w:rFonts w:hint="eastAsia"/>
                <w:color w:val="auto"/>
                <w:szCs w:val="21"/>
                <w:lang w:eastAsia="zh-CN"/>
              </w:rPr>
              <w:t>。</w:t>
            </w:r>
            <w:r>
              <w:rPr>
                <w:rFonts w:hint="eastAsia"/>
                <w:color w:val="auto"/>
                <w:szCs w:val="21"/>
              </w:rPr>
              <w:t>在中药煎煮、包装过程中无有毒有害气体产生，仅产生少量中药</w:t>
            </w:r>
            <w:r>
              <w:rPr>
                <w:rFonts w:hint="eastAsia"/>
                <w:color w:val="auto"/>
                <w:szCs w:val="21"/>
                <w:lang w:val="en-US" w:eastAsia="zh-CN"/>
              </w:rPr>
              <w:t>异味</w:t>
            </w:r>
            <w:r>
              <w:rPr>
                <w:rFonts w:hint="eastAsia"/>
                <w:color w:val="auto"/>
                <w:szCs w:val="21"/>
              </w:rPr>
              <w:t>及水蒸汽，</w:t>
            </w:r>
            <w:r>
              <w:rPr>
                <w:rFonts w:hint="eastAsia"/>
                <w:color w:val="auto"/>
                <w:szCs w:val="21"/>
                <w:lang w:val="en-US" w:eastAsia="zh-CN"/>
              </w:rPr>
              <w:t>以</w:t>
            </w:r>
            <w:r>
              <w:rPr>
                <w:rFonts w:hint="eastAsia"/>
                <w:color w:val="auto"/>
                <w:szCs w:val="21"/>
              </w:rPr>
              <w:t>臭气浓度</w:t>
            </w:r>
            <w:r>
              <w:rPr>
                <w:rFonts w:hint="eastAsia"/>
                <w:color w:val="auto"/>
                <w:szCs w:val="21"/>
                <w:lang w:val="en-US" w:eastAsia="zh-CN"/>
              </w:rPr>
              <w:t>表征</w:t>
            </w:r>
            <w:r>
              <w:rPr>
                <w:rFonts w:hint="eastAsia"/>
                <w:color w:val="auto"/>
                <w:szCs w:val="21"/>
              </w:rPr>
              <w:t>。</w:t>
            </w:r>
            <w:r>
              <w:rPr>
                <w:rFonts w:hint="eastAsia"/>
                <w:color w:val="auto"/>
                <w:szCs w:val="21"/>
                <w:lang w:val="en-US" w:eastAsia="zh-CN"/>
              </w:rPr>
              <w:t>本次评价仅对其定性分析。</w:t>
            </w:r>
          </w:p>
          <w:p w14:paraId="44F82C68">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eastAsia"/>
                <w:color w:val="auto"/>
                <w:szCs w:val="21"/>
              </w:rPr>
            </w:pPr>
            <w:r>
              <w:rPr>
                <w:rFonts w:hint="eastAsia"/>
                <w:b/>
                <w:bCs/>
                <w:color w:val="auto"/>
                <w:szCs w:val="21"/>
                <w:lang w:val="en-US" w:eastAsia="zh-CN"/>
              </w:rPr>
              <w:t>采取的治理措施</w:t>
            </w:r>
            <w:r>
              <w:rPr>
                <w:rFonts w:hint="eastAsia"/>
                <w:b w:val="0"/>
                <w:bCs w:val="0"/>
                <w:color w:val="auto"/>
                <w:szCs w:val="21"/>
                <w:lang w:val="en-US" w:eastAsia="zh-CN"/>
              </w:rPr>
              <w:t>：本项目中药煎熬室为相对封闭的房间，通过设置风机和管道，将废气引至医疗楼屋顶，经活性炭吸附装置净化处理后排放。</w:t>
            </w:r>
            <w:r>
              <w:rPr>
                <w:rFonts w:hint="eastAsia"/>
                <w:color w:val="auto"/>
                <w:szCs w:val="21"/>
                <w:lang w:val="en-US" w:eastAsia="zh-CN"/>
              </w:rPr>
              <w:t>臭气浓度能够达到《恶臭污染物排放标准》(GB14554-93）表2中标准后</w:t>
            </w:r>
            <w:r>
              <w:rPr>
                <w:rFonts w:hint="eastAsia"/>
                <w:color w:val="auto"/>
                <w:szCs w:val="21"/>
              </w:rPr>
              <w:t>。</w:t>
            </w:r>
          </w:p>
          <w:p w14:paraId="3A40AD4E">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采取上述措施后，项目营运期废气对周围环境影响较小。其治理措施在经济上合理、技术上可行。</w:t>
            </w:r>
          </w:p>
          <w:p w14:paraId="021A9CB1">
            <w:pPr>
              <w:keepNext w:val="0"/>
              <w:keepLines w:val="0"/>
              <w:numPr>
                <w:ilvl w:val="0"/>
                <w:numId w:val="3"/>
              </w:numPr>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s="宋体"/>
                <w:color w:val="auto"/>
                <w:kern w:val="0"/>
                <w:szCs w:val="21"/>
              </w:rPr>
            </w:pPr>
            <w:r>
              <w:rPr>
                <w:rFonts w:hint="eastAsia" w:cs="宋体"/>
                <w:color w:val="auto"/>
                <w:kern w:val="0"/>
                <w:szCs w:val="21"/>
              </w:rPr>
              <w:t>废气排放情况</w:t>
            </w:r>
          </w:p>
          <w:p w14:paraId="439DC8CC">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4-1</w:t>
            </w:r>
            <w:r>
              <w:rPr>
                <w:rFonts w:hint="default" w:eastAsia="黑体"/>
                <w:color w:val="auto"/>
                <w:sz w:val="18"/>
                <w:szCs w:val="18"/>
              </w:rPr>
              <w:t xml:space="preserve">   </w:t>
            </w:r>
            <w:r>
              <w:rPr>
                <w:rFonts w:hint="eastAsia" w:eastAsia="黑体"/>
                <w:color w:val="auto"/>
                <w:sz w:val="18"/>
                <w:szCs w:val="18"/>
              </w:rPr>
              <w:t xml:space="preserve"> </w:t>
            </w:r>
            <w:r>
              <w:rPr>
                <w:rFonts w:hint="default" w:eastAsia="黑体"/>
                <w:color w:val="auto"/>
                <w:sz w:val="18"/>
                <w:szCs w:val="18"/>
              </w:rPr>
              <w:t xml:space="preserve"> </w:t>
            </w:r>
            <w:r>
              <w:rPr>
                <w:rFonts w:hint="eastAsia" w:eastAsia="黑体"/>
                <w:color w:val="auto"/>
                <w:sz w:val="18"/>
                <w:szCs w:val="18"/>
              </w:rPr>
              <w:t>废气产排污节点、污染物及污染治理设施信息表</w:t>
            </w:r>
          </w:p>
          <w:tbl>
            <w:tblPr>
              <w:tblStyle w:val="13"/>
              <w:tblW w:w="8003"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508"/>
              <w:gridCol w:w="1251"/>
              <w:gridCol w:w="992"/>
              <w:gridCol w:w="991"/>
              <w:gridCol w:w="1561"/>
              <w:gridCol w:w="993"/>
              <w:gridCol w:w="851"/>
              <w:gridCol w:w="856"/>
            </w:tblGrid>
            <w:tr w14:paraId="4916923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0" w:hRule="atLeast"/>
                <w:jc w:val="center"/>
              </w:trPr>
              <w:tc>
                <w:tcPr>
                  <w:tcW w:w="508" w:type="dxa"/>
                  <w:vMerge w:val="restart"/>
                  <w:tcBorders>
                    <w:left w:val="single" w:color="000000" w:sz="4" w:space="0"/>
                    <w:right w:val="single" w:color="000000" w:sz="4" w:space="0"/>
                  </w:tcBorders>
                  <w:vAlign w:val="center"/>
                </w:tcPr>
                <w:p w14:paraId="1E5D30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eastAsia"/>
                      <w:b/>
                      <w:bCs/>
                      <w:color w:val="auto"/>
                      <w:sz w:val="18"/>
                      <w:szCs w:val="18"/>
                    </w:rPr>
                    <w:t>序号</w:t>
                  </w:r>
                </w:p>
              </w:tc>
              <w:tc>
                <w:tcPr>
                  <w:tcW w:w="1251" w:type="dxa"/>
                  <w:vMerge w:val="restart"/>
                  <w:tcBorders>
                    <w:left w:val="single" w:color="000000" w:sz="4" w:space="0"/>
                    <w:right w:val="single" w:color="000000" w:sz="4" w:space="0"/>
                  </w:tcBorders>
                  <w:vAlign w:val="center"/>
                </w:tcPr>
                <w:p w14:paraId="00F51F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eastAsia"/>
                      <w:b/>
                      <w:bCs/>
                      <w:color w:val="auto"/>
                      <w:sz w:val="18"/>
                      <w:szCs w:val="18"/>
                    </w:rPr>
                    <w:t>生产线名称及编号</w:t>
                  </w:r>
                </w:p>
              </w:tc>
              <w:tc>
                <w:tcPr>
                  <w:tcW w:w="992" w:type="dxa"/>
                  <w:vMerge w:val="restart"/>
                  <w:tcBorders>
                    <w:left w:val="single" w:color="000000" w:sz="4" w:space="0"/>
                    <w:right w:val="single" w:color="000000" w:sz="4" w:space="0"/>
                  </w:tcBorders>
                  <w:vAlign w:val="center"/>
                </w:tcPr>
                <w:p w14:paraId="12A98C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eastAsia"/>
                      <w:b/>
                      <w:bCs/>
                      <w:color w:val="auto"/>
                      <w:sz w:val="18"/>
                      <w:szCs w:val="18"/>
                    </w:rPr>
                    <w:t>主要生产单元</w:t>
                  </w:r>
                </w:p>
              </w:tc>
              <w:tc>
                <w:tcPr>
                  <w:tcW w:w="991" w:type="dxa"/>
                  <w:vMerge w:val="restart"/>
                  <w:tcBorders>
                    <w:left w:val="single" w:color="000000" w:sz="4" w:space="0"/>
                    <w:bottom w:val="single" w:color="auto" w:sz="4" w:space="0"/>
                    <w:right w:val="single" w:color="000000" w:sz="4" w:space="0"/>
                  </w:tcBorders>
                  <w:vAlign w:val="center"/>
                </w:tcPr>
                <w:p w14:paraId="377701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eastAsia"/>
                      <w:b/>
                      <w:bCs/>
                      <w:color w:val="auto"/>
                      <w:sz w:val="18"/>
                      <w:szCs w:val="18"/>
                    </w:rPr>
                    <w:t>产污设施编号</w:t>
                  </w:r>
                </w:p>
              </w:tc>
              <w:tc>
                <w:tcPr>
                  <w:tcW w:w="1561" w:type="dxa"/>
                  <w:vMerge w:val="restart"/>
                  <w:tcBorders>
                    <w:left w:val="single" w:color="000000" w:sz="4" w:space="0"/>
                    <w:bottom w:val="single" w:color="auto" w:sz="4" w:space="0"/>
                    <w:right w:val="single" w:color="000000" w:sz="4" w:space="0"/>
                  </w:tcBorders>
                  <w:vAlign w:val="center"/>
                </w:tcPr>
                <w:p w14:paraId="55F609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eastAsia"/>
                      <w:b/>
                      <w:bCs/>
                      <w:color w:val="auto"/>
                      <w:sz w:val="18"/>
                      <w:szCs w:val="18"/>
                    </w:rPr>
                    <w:t>产污环节名称</w:t>
                  </w:r>
                </w:p>
              </w:tc>
              <w:tc>
                <w:tcPr>
                  <w:tcW w:w="993" w:type="dxa"/>
                  <w:vMerge w:val="restart"/>
                  <w:tcBorders>
                    <w:left w:val="single" w:color="000000" w:sz="4" w:space="0"/>
                    <w:bottom w:val="single" w:color="auto" w:sz="4" w:space="0"/>
                    <w:right w:val="single" w:color="000000" w:sz="4" w:space="0"/>
                  </w:tcBorders>
                  <w:vAlign w:val="center"/>
                </w:tcPr>
                <w:p w14:paraId="110483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eastAsia"/>
                      <w:b/>
                      <w:bCs/>
                      <w:color w:val="auto"/>
                      <w:sz w:val="18"/>
                      <w:szCs w:val="18"/>
                    </w:rPr>
                    <w:t>污染物种类</w:t>
                  </w:r>
                </w:p>
              </w:tc>
              <w:tc>
                <w:tcPr>
                  <w:tcW w:w="851" w:type="dxa"/>
                  <w:vMerge w:val="restart"/>
                  <w:tcBorders>
                    <w:left w:val="single" w:color="000000" w:sz="4" w:space="0"/>
                    <w:bottom w:val="single" w:color="auto" w:sz="4" w:space="0"/>
                    <w:right w:val="single" w:color="000000" w:sz="4" w:space="0"/>
                  </w:tcBorders>
                  <w:vAlign w:val="center"/>
                </w:tcPr>
                <w:p w14:paraId="6AC294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eastAsia"/>
                      <w:b/>
                      <w:bCs/>
                      <w:color w:val="auto"/>
                      <w:sz w:val="18"/>
                      <w:szCs w:val="18"/>
                    </w:rPr>
                    <w:t>排放形式</w:t>
                  </w:r>
                </w:p>
              </w:tc>
              <w:tc>
                <w:tcPr>
                  <w:tcW w:w="856" w:type="dxa"/>
                  <w:vMerge w:val="restart"/>
                  <w:tcBorders>
                    <w:left w:val="single" w:color="000000" w:sz="4" w:space="0"/>
                  </w:tcBorders>
                  <w:vAlign w:val="center"/>
                </w:tcPr>
                <w:p w14:paraId="5EF3B8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eastAsia"/>
                      <w:b/>
                      <w:bCs/>
                      <w:color w:val="auto"/>
                      <w:sz w:val="18"/>
                      <w:szCs w:val="18"/>
                    </w:rPr>
                    <w:t>其他信息</w:t>
                  </w:r>
                </w:p>
              </w:tc>
            </w:tr>
            <w:tr w14:paraId="6104B0F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20" w:hRule="atLeast"/>
                <w:jc w:val="center"/>
              </w:trPr>
              <w:tc>
                <w:tcPr>
                  <w:tcW w:w="508" w:type="dxa"/>
                  <w:vMerge w:val="continue"/>
                  <w:tcBorders>
                    <w:left w:val="single" w:color="000000" w:sz="4" w:space="0"/>
                    <w:bottom w:val="single" w:color="000000" w:sz="4" w:space="0"/>
                    <w:right w:val="single" w:color="000000" w:sz="4" w:space="0"/>
                  </w:tcBorders>
                  <w:vAlign w:val="center"/>
                </w:tcPr>
                <w:p w14:paraId="5DB769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1251" w:type="dxa"/>
                  <w:vMerge w:val="continue"/>
                  <w:tcBorders>
                    <w:left w:val="single" w:color="000000" w:sz="4" w:space="0"/>
                    <w:bottom w:val="single" w:color="000000" w:sz="4" w:space="0"/>
                    <w:right w:val="single" w:color="000000" w:sz="4" w:space="0"/>
                  </w:tcBorders>
                  <w:vAlign w:val="center"/>
                </w:tcPr>
                <w:p w14:paraId="287D44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992" w:type="dxa"/>
                  <w:vMerge w:val="continue"/>
                  <w:tcBorders>
                    <w:left w:val="single" w:color="000000" w:sz="4" w:space="0"/>
                    <w:bottom w:val="single" w:color="000000" w:sz="4" w:space="0"/>
                    <w:right w:val="single" w:color="000000" w:sz="4" w:space="0"/>
                  </w:tcBorders>
                  <w:vAlign w:val="center"/>
                </w:tcPr>
                <w:p w14:paraId="3EF6C5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991" w:type="dxa"/>
                  <w:vMerge w:val="continue"/>
                  <w:tcBorders>
                    <w:top w:val="single" w:color="auto" w:sz="4" w:space="0"/>
                    <w:left w:val="single" w:color="000000" w:sz="4" w:space="0"/>
                    <w:bottom w:val="single" w:color="000000" w:sz="4" w:space="0"/>
                    <w:right w:val="single" w:color="auto" w:sz="4" w:space="0"/>
                  </w:tcBorders>
                  <w:vAlign w:val="center"/>
                </w:tcPr>
                <w:p w14:paraId="30637B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1561" w:type="dxa"/>
                  <w:vMerge w:val="continue"/>
                  <w:tcBorders>
                    <w:top w:val="single" w:color="auto" w:sz="4" w:space="0"/>
                    <w:left w:val="single" w:color="000000" w:sz="4" w:space="0"/>
                    <w:bottom w:val="single" w:color="000000" w:sz="4" w:space="0"/>
                    <w:right w:val="single" w:color="auto" w:sz="4" w:space="0"/>
                  </w:tcBorders>
                  <w:vAlign w:val="center"/>
                </w:tcPr>
                <w:p w14:paraId="0DFB38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993" w:type="dxa"/>
                  <w:vMerge w:val="continue"/>
                  <w:tcBorders>
                    <w:top w:val="single" w:color="auto" w:sz="4" w:space="0"/>
                    <w:left w:val="single" w:color="000000" w:sz="4" w:space="0"/>
                    <w:bottom w:val="single" w:color="000000" w:sz="4" w:space="0"/>
                    <w:right w:val="single" w:color="auto" w:sz="4" w:space="0"/>
                  </w:tcBorders>
                  <w:vAlign w:val="center"/>
                </w:tcPr>
                <w:p w14:paraId="4C46E6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851" w:type="dxa"/>
                  <w:vMerge w:val="continue"/>
                  <w:tcBorders>
                    <w:top w:val="single" w:color="auto" w:sz="4" w:space="0"/>
                    <w:left w:val="single" w:color="000000" w:sz="4" w:space="0"/>
                    <w:bottom w:val="single" w:color="000000" w:sz="4" w:space="0"/>
                    <w:right w:val="single" w:color="auto" w:sz="4" w:space="0"/>
                  </w:tcBorders>
                  <w:vAlign w:val="center"/>
                </w:tcPr>
                <w:p w14:paraId="2EBE43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856" w:type="dxa"/>
                  <w:vMerge w:val="continue"/>
                  <w:tcBorders>
                    <w:left w:val="single" w:color="000000" w:sz="4" w:space="0"/>
                    <w:bottom w:val="single" w:color="000000" w:sz="4" w:space="0"/>
                  </w:tcBorders>
                  <w:vAlign w:val="center"/>
                </w:tcPr>
                <w:p w14:paraId="3C41D5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r>
            <w:tr w14:paraId="6E7757A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59"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14:paraId="04D77A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1</w:t>
                  </w:r>
                </w:p>
              </w:tc>
              <w:tc>
                <w:tcPr>
                  <w:tcW w:w="1251" w:type="dxa"/>
                  <w:tcBorders>
                    <w:top w:val="single" w:color="000000" w:sz="4" w:space="0"/>
                    <w:left w:val="single" w:color="000000" w:sz="4" w:space="0"/>
                    <w:bottom w:val="single" w:color="000000" w:sz="4" w:space="0"/>
                    <w:right w:val="single" w:color="000000" w:sz="4" w:space="0"/>
                  </w:tcBorders>
                  <w:vAlign w:val="center"/>
                </w:tcPr>
                <w:p w14:paraId="4EC1C2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医院</w:t>
                  </w:r>
                </w:p>
              </w:tc>
              <w:tc>
                <w:tcPr>
                  <w:tcW w:w="992" w:type="dxa"/>
                  <w:tcBorders>
                    <w:top w:val="single" w:color="000000" w:sz="4" w:space="0"/>
                    <w:left w:val="single" w:color="000000" w:sz="4" w:space="0"/>
                    <w:bottom w:val="single" w:color="000000" w:sz="4" w:space="0"/>
                    <w:right w:val="single" w:color="000000" w:sz="4" w:space="0"/>
                  </w:tcBorders>
                  <w:vAlign w:val="center"/>
                </w:tcPr>
                <w:p w14:paraId="4CF7C1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患者诊治</w:t>
                  </w:r>
                </w:p>
              </w:tc>
              <w:tc>
                <w:tcPr>
                  <w:tcW w:w="991" w:type="dxa"/>
                  <w:tcBorders>
                    <w:top w:val="single" w:color="000000" w:sz="4" w:space="0"/>
                    <w:left w:val="single" w:color="000000" w:sz="4" w:space="0"/>
                    <w:bottom w:val="single" w:color="000000" w:sz="4" w:space="0"/>
                    <w:right w:val="single" w:color="auto" w:sz="4" w:space="0"/>
                  </w:tcBorders>
                  <w:vAlign w:val="center"/>
                </w:tcPr>
                <w:p w14:paraId="4ED66B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MF0001</w:t>
                  </w:r>
                </w:p>
              </w:tc>
              <w:tc>
                <w:tcPr>
                  <w:tcW w:w="1561" w:type="dxa"/>
                  <w:tcBorders>
                    <w:top w:val="single" w:color="000000" w:sz="4" w:space="0"/>
                    <w:left w:val="single" w:color="000000" w:sz="4" w:space="0"/>
                    <w:bottom w:val="single" w:color="000000" w:sz="4" w:space="0"/>
                    <w:right w:val="single" w:color="auto" w:sz="4" w:space="0"/>
                  </w:tcBorders>
                  <w:vAlign w:val="center"/>
                </w:tcPr>
                <w:p w14:paraId="059C5F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检验、治疗等</w:t>
                  </w:r>
                </w:p>
              </w:tc>
              <w:tc>
                <w:tcPr>
                  <w:tcW w:w="993" w:type="dxa"/>
                  <w:tcBorders>
                    <w:top w:val="single" w:color="000000" w:sz="4" w:space="0"/>
                    <w:left w:val="single" w:color="000000" w:sz="4" w:space="0"/>
                    <w:bottom w:val="single" w:color="000000" w:sz="4" w:space="0"/>
                    <w:right w:val="single" w:color="auto" w:sz="4" w:space="0"/>
                  </w:tcBorders>
                  <w:vAlign w:val="center"/>
                </w:tcPr>
                <w:p w14:paraId="31C724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药水异味</w:t>
                  </w:r>
                </w:p>
              </w:tc>
              <w:tc>
                <w:tcPr>
                  <w:tcW w:w="851" w:type="dxa"/>
                  <w:tcBorders>
                    <w:top w:val="single" w:color="000000" w:sz="4" w:space="0"/>
                    <w:left w:val="single" w:color="000000" w:sz="4" w:space="0"/>
                    <w:bottom w:val="single" w:color="000000" w:sz="4" w:space="0"/>
                    <w:right w:val="single" w:color="auto" w:sz="4" w:space="0"/>
                  </w:tcBorders>
                  <w:vAlign w:val="center"/>
                </w:tcPr>
                <w:p w14:paraId="254D54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无组织</w:t>
                  </w:r>
                </w:p>
              </w:tc>
              <w:tc>
                <w:tcPr>
                  <w:tcW w:w="856" w:type="dxa"/>
                  <w:tcBorders>
                    <w:top w:val="single" w:color="000000" w:sz="4" w:space="0"/>
                    <w:left w:val="single" w:color="000000" w:sz="4" w:space="0"/>
                    <w:bottom w:val="single" w:color="000000" w:sz="4" w:space="0"/>
                  </w:tcBorders>
                  <w:vAlign w:val="center"/>
                </w:tcPr>
                <w:p w14:paraId="3BED50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w:t>
                  </w:r>
                </w:p>
              </w:tc>
            </w:tr>
            <w:tr w14:paraId="6E391BA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59"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14:paraId="3795AC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2</w:t>
                  </w:r>
                </w:p>
              </w:tc>
              <w:tc>
                <w:tcPr>
                  <w:tcW w:w="1251" w:type="dxa"/>
                  <w:tcBorders>
                    <w:top w:val="single" w:color="000000" w:sz="4" w:space="0"/>
                    <w:left w:val="single" w:color="000000" w:sz="4" w:space="0"/>
                    <w:bottom w:val="single" w:color="000000" w:sz="4" w:space="0"/>
                    <w:right w:val="single" w:color="000000" w:sz="4" w:space="0"/>
                  </w:tcBorders>
                  <w:vAlign w:val="center"/>
                </w:tcPr>
                <w:p w14:paraId="5D4576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污水站</w:t>
                  </w:r>
                </w:p>
              </w:tc>
              <w:tc>
                <w:tcPr>
                  <w:tcW w:w="992" w:type="dxa"/>
                  <w:tcBorders>
                    <w:top w:val="single" w:color="000000" w:sz="4" w:space="0"/>
                    <w:left w:val="single" w:color="000000" w:sz="4" w:space="0"/>
                    <w:bottom w:val="single" w:color="000000" w:sz="4" w:space="0"/>
                    <w:right w:val="single" w:color="000000" w:sz="4" w:space="0"/>
                  </w:tcBorders>
                  <w:vAlign w:val="center"/>
                </w:tcPr>
                <w:p w14:paraId="5B1FFE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污水处理</w:t>
                  </w:r>
                </w:p>
              </w:tc>
              <w:tc>
                <w:tcPr>
                  <w:tcW w:w="991" w:type="dxa"/>
                  <w:tcBorders>
                    <w:top w:val="single" w:color="000000" w:sz="4" w:space="0"/>
                    <w:left w:val="single" w:color="000000" w:sz="4" w:space="0"/>
                    <w:bottom w:val="single" w:color="000000" w:sz="4" w:space="0"/>
                    <w:right w:val="single" w:color="auto" w:sz="4" w:space="0"/>
                  </w:tcBorders>
                  <w:vAlign w:val="center"/>
                </w:tcPr>
                <w:p w14:paraId="22B1FF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MF0002</w:t>
                  </w:r>
                </w:p>
              </w:tc>
              <w:tc>
                <w:tcPr>
                  <w:tcW w:w="1561" w:type="dxa"/>
                  <w:tcBorders>
                    <w:top w:val="single" w:color="000000" w:sz="4" w:space="0"/>
                    <w:left w:val="single" w:color="000000" w:sz="4" w:space="0"/>
                    <w:bottom w:val="single" w:color="000000" w:sz="4" w:space="0"/>
                    <w:right w:val="single" w:color="auto" w:sz="4" w:space="0"/>
                  </w:tcBorders>
                  <w:vAlign w:val="center"/>
                </w:tcPr>
                <w:p w14:paraId="5304C4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污水沉淀、污泥浓缩</w:t>
                  </w:r>
                </w:p>
              </w:tc>
              <w:tc>
                <w:tcPr>
                  <w:tcW w:w="993" w:type="dxa"/>
                  <w:tcBorders>
                    <w:top w:val="single" w:color="000000" w:sz="4" w:space="0"/>
                    <w:left w:val="single" w:color="000000" w:sz="4" w:space="0"/>
                    <w:bottom w:val="single" w:color="000000" w:sz="4" w:space="0"/>
                    <w:right w:val="single" w:color="auto" w:sz="4" w:space="0"/>
                  </w:tcBorders>
                  <w:vAlign w:val="center"/>
                </w:tcPr>
                <w:p w14:paraId="33945B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NH</w:t>
                  </w:r>
                  <w:r>
                    <w:rPr>
                      <w:rFonts w:hint="default"/>
                      <w:color w:val="auto"/>
                      <w:sz w:val="18"/>
                      <w:szCs w:val="18"/>
                      <w:vertAlign w:val="subscript"/>
                    </w:rPr>
                    <w:t>3</w:t>
                  </w:r>
                  <w:r>
                    <w:rPr>
                      <w:rFonts w:hint="eastAsia"/>
                      <w:color w:val="auto"/>
                      <w:sz w:val="18"/>
                      <w:szCs w:val="18"/>
                    </w:rPr>
                    <w:t>、</w:t>
                  </w:r>
                  <w:r>
                    <w:rPr>
                      <w:rFonts w:hint="default"/>
                      <w:color w:val="auto"/>
                      <w:sz w:val="18"/>
                      <w:szCs w:val="18"/>
                    </w:rPr>
                    <w:t>H</w:t>
                  </w:r>
                  <w:r>
                    <w:rPr>
                      <w:rFonts w:hint="default"/>
                      <w:color w:val="auto"/>
                      <w:sz w:val="18"/>
                      <w:szCs w:val="18"/>
                      <w:vertAlign w:val="subscript"/>
                    </w:rPr>
                    <w:t>2</w:t>
                  </w:r>
                  <w:r>
                    <w:rPr>
                      <w:rFonts w:hint="default"/>
                      <w:color w:val="auto"/>
                      <w:sz w:val="18"/>
                      <w:szCs w:val="18"/>
                    </w:rPr>
                    <w:t>S</w:t>
                  </w:r>
                </w:p>
              </w:tc>
              <w:tc>
                <w:tcPr>
                  <w:tcW w:w="851" w:type="dxa"/>
                  <w:tcBorders>
                    <w:top w:val="single" w:color="000000" w:sz="4" w:space="0"/>
                    <w:left w:val="single" w:color="000000" w:sz="4" w:space="0"/>
                    <w:bottom w:val="single" w:color="000000" w:sz="4" w:space="0"/>
                    <w:right w:val="single" w:color="auto" w:sz="4" w:space="0"/>
                  </w:tcBorders>
                  <w:vAlign w:val="center"/>
                </w:tcPr>
                <w:p w14:paraId="0DD0A8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无组织</w:t>
                  </w:r>
                </w:p>
              </w:tc>
              <w:tc>
                <w:tcPr>
                  <w:tcW w:w="856" w:type="dxa"/>
                  <w:tcBorders>
                    <w:top w:val="single" w:color="000000" w:sz="4" w:space="0"/>
                    <w:left w:val="single" w:color="000000" w:sz="4" w:space="0"/>
                    <w:bottom w:val="single" w:color="000000" w:sz="4" w:space="0"/>
                  </w:tcBorders>
                  <w:vAlign w:val="center"/>
                </w:tcPr>
                <w:p w14:paraId="4B2196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w:t>
                  </w:r>
                </w:p>
              </w:tc>
            </w:tr>
            <w:tr w14:paraId="2FD7410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159" w:hRule="atLeast"/>
                <w:jc w:val="center"/>
              </w:trPr>
              <w:tc>
                <w:tcPr>
                  <w:tcW w:w="508" w:type="dxa"/>
                  <w:tcBorders>
                    <w:top w:val="single" w:color="000000" w:sz="4" w:space="0"/>
                    <w:left w:val="single" w:color="000000" w:sz="4" w:space="0"/>
                    <w:bottom w:val="single" w:color="000000" w:sz="4" w:space="0"/>
                    <w:right w:val="single" w:color="000000" w:sz="4" w:space="0"/>
                  </w:tcBorders>
                  <w:vAlign w:val="center"/>
                </w:tcPr>
                <w:p w14:paraId="6F29FD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3</w:t>
                  </w:r>
                </w:p>
              </w:tc>
              <w:tc>
                <w:tcPr>
                  <w:tcW w:w="1251" w:type="dxa"/>
                  <w:tcBorders>
                    <w:top w:val="single" w:color="000000" w:sz="4" w:space="0"/>
                    <w:left w:val="single" w:color="000000" w:sz="4" w:space="0"/>
                    <w:bottom w:val="single" w:color="000000" w:sz="4" w:space="0"/>
                    <w:right w:val="single" w:color="000000" w:sz="4" w:space="0"/>
                  </w:tcBorders>
                  <w:vAlign w:val="center"/>
                </w:tcPr>
                <w:p w14:paraId="614AE2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中药煎药室</w:t>
                  </w:r>
                </w:p>
              </w:tc>
              <w:tc>
                <w:tcPr>
                  <w:tcW w:w="992" w:type="dxa"/>
                  <w:tcBorders>
                    <w:top w:val="single" w:color="000000" w:sz="4" w:space="0"/>
                    <w:left w:val="single" w:color="000000" w:sz="4" w:space="0"/>
                    <w:bottom w:val="single" w:color="000000" w:sz="4" w:space="0"/>
                    <w:right w:val="single" w:color="000000" w:sz="4" w:space="0"/>
                  </w:tcBorders>
                  <w:vAlign w:val="center"/>
                </w:tcPr>
                <w:p w14:paraId="6873D7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煎药</w:t>
                  </w:r>
                </w:p>
              </w:tc>
              <w:tc>
                <w:tcPr>
                  <w:tcW w:w="991" w:type="dxa"/>
                  <w:tcBorders>
                    <w:top w:val="single" w:color="000000" w:sz="4" w:space="0"/>
                    <w:left w:val="single" w:color="000000" w:sz="4" w:space="0"/>
                    <w:bottom w:val="single" w:color="000000" w:sz="4" w:space="0"/>
                    <w:right w:val="single" w:color="auto" w:sz="4" w:space="0"/>
                  </w:tcBorders>
                  <w:vAlign w:val="center"/>
                </w:tcPr>
                <w:p w14:paraId="04EDD9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MF0003</w:t>
                  </w:r>
                </w:p>
              </w:tc>
              <w:tc>
                <w:tcPr>
                  <w:tcW w:w="1561" w:type="dxa"/>
                  <w:tcBorders>
                    <w:top w:val="single" w:color="000000" w:sz="4" w:space="0"/>
                    <w:left w:val="single" w:color="000000" w:sz="4" w:space="0"/>
                    <w:bottom w:val="single" w:color="000000" w:sz="4" w:space="0"/>
                    <w:right w:val="single" w:color="auto" w:sz="4" w:space="0"/>
                  </w:tcBorders>
                  <w:vAlign w:val="center"/>
                </w:tcPr>
                <w:p w14:paraId="5BF2B8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药材煎煮</w:t>
                  </w:r>
                </w:p>
              </w:tc>
              <w:tc>
                <w:tcPr>
                  <w:tcW w:w="993" w:type="dxa"/>
                  <w:tcBorders>
                    <w:top w:val="single" w:color="000000" w:sz="4" w:space="0"/>
                    <w:left w:val="single" w:color="000000" w:sz="4" w:space="0"/>
                    <w:bottom w:val="single" w:color="000000" w:sz="4" w:space="0"/>
                    <w:right w:val="single" w:color="auto" w:sz="4" w:space="0"/>
                  </w:tcBorders>
                  <w:vAlign w:val="center"/>
                </w:tcPr>
                <w:p w14:paraId="356AA6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eastAsia="宋体"/>
                      <w:color w:val="auto"/>
                      <w:sz w:val="18"/>
                      <w:szCs w:val="18"/>
                      <w:lang w:val="en-US" w:eastAsia="zh-CN"/>
                    </w:rPr>
                  </w:pPr>
                  <w:r>
                    <w:rPr>
                      <w:rFonts w:hint="eastAsia"/>
                      <w:color w:val="auto"/>
                      <w:sz w:val="18"/>
                      <w:szCs w:val="18"/>
                      <w:lang w:val="en-US" w:eastAsia="zh-CN"/>
                    </w:rPr>
                    <w:t>臭气浓度</w:t>
                  </w:r>
                </w:p>
              </w:tc>
              <w:tc>
                <w:tcPr>
                  <w:tcW w:w="851" w:type="dxa"/>
                  <w:tcBorders>
                    <w:top w:val="single" w:color="000000" w:sz="4" w:space="0"/>
                    <w:left w:val="single" w:color="000000" w:sz="4" w:space="0"/>
                    <w:bottom w:val="single" w:color="000000" w:sz="4" w:space="0"/>
                    <w:right w:val="single" w:color="auto" w:sz="4" w:space="0"/>
                  </w:tcBorders>
                  <w:vAlign w:val="center"/>
                </w:tcPr>
                <w:p w14:paraId="0420D8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有组织</w:t>
                  </w:r>
                </w:p>
              </w:tc>
              <w:tc>
                <w:tcPr>
                  <w:tcW w:w="856" w:type="dxa"/>
                  <w:tcBorders>
                    <w:top w:val="single" w:color="000000" w:sz="4" w:space="0"/>
                    <w:left w:val="single" w:color="000000" w:sz="4" w:space="0"/>
                    <w:bottom w:val="single" w:color="000000" w:sz="4" w:space="0"/>
                  </w:tcBorders>
                  <w:vAlign w:val="center"/>
                </w:tcPr>
                <w:p w14:paraId="3F4230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w:t>
                  </w:r>
                </w:p>
              </w:tc>
            </w:tr>
          </w:tbl>
          <w:p w14:paraId="18B3FC34">
            <w:pPr>
              <w:keepNext w:val="0"/>
              <w:keepLines w:val="0"/>
              <w:suppressLineNumbers w:val="0"/>
              <w:autoSpaceDE w:val="0"/>
              <w:autoSpaceDN w:val="0"/>
              <w:adjustRightInd w:val="0"/>
              <w:snapToGrid w:val="0"/>
              <w:spacing w:before="0" w:beforeAutospacing="0" w:after="0" w:afterAutospacing="0" w:line="400" w:lineRule="exact"/>
              <w:ind w:left="0" w:right="0"/>
              <w:jc w:val="center"/>
              <w:rPr>
                <w:rFonts w:hint="default" w:eastAsia="黑体"/>
                <w:color w:val="auto"/>
                <w:kern w:val="0"/>
                <w:sz w:val="18"/>
                <w:szCs w:val="20"/>
              </w:rPr>
            </w:pPr>
            <w:r>
              <w:rPr>
                <w:rFonts w:hint="default" w:ascii="黑体" w:hAnsi="黑体" w:eastAsia="黑体"/>
                <w:color w:val="auto"/>
                <w:kern w:val="0"/>
                <w:sz w:val="18"/>
                <w:szCs w:val="20"/>
              </w:rPr>
              <w:t>表</w:t>
            </w:r>
            <w:r>
              <w:rPr>
                <w:rFonts w:hint="default" w:eastAsia="黑体"/>
                <w:color w:val="auto"/>
                <w:kern w:val="0"/>
                <w:sz w:val="18"/>
                <w:szCs w:val="20"/>
              </w:rPr>
              <w:t>4-</w:t>
            </w:r>
            <w:r>
              <w:rPr>
                <w:rFonts w:hint="eastAsia" w:eastAsia="黑体"/>
                <w:color w:val="auto"/>
                <w:kern w:val="0"/>
                <w:sz w:val="18"/>
                <w:szCs w:val="20"/>
              </w:rPr>
              <w:t>2</w:t>
            </w:r>
            <w:r>
              <w:rPr>
                <w:rFonts w:hint="default" w:eastAsia="黑体"/>
                <w:color w:val="auto"/>
                <w:kern w:val="0"/>
                <w:sz w:val="18"/>
                <w:szCs w:val="20"/>
              </w:rPr>
              <w:t xml:space="preserve">   </w:t>
            </w:r>
            <w:r>
              <w:rPr>
                <w:rFonts w:hint="default" w:ascii="黑体" w:hAnsi="黑体" w:eastAsia="黑体"/>
                <w:color w:val="auto"/>
                <w:kern w:val="0"/>
                <w:sz w:val="18"/>
                <w:szCs w:val="20"/>
              </w:rPr>
              <w:t>大气污染物有组织排放表</w:t>
            </w:r>
          </w:p>
          <w:tbl>
            <w:tblPr>
              <w:tblStyle w:val="13"/>
              <w:tblW w:w="8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65"/>
              <w:gridCol w:w="1274"/>
              <w:gridCol w:w="453"/>
              <w:gridCol w:w="454"/>
              <w:gridCol w:w="502"/>
              <w:gridCol w:w="613"/>
              <w:gridCol w:w="459"/>
              <w:gridCol w:w="765"/>
              <w:gridCol w:w="564"/>
              <w:gridCol w:w="970"/>
              <w:gridCol w:w="400"/>
              <w:gridCol w:w="400"/>
              <w:gridCol w:w="378"/>
              <w:gridCol w:w="407"/>
            </w:tblGrid>
            <w:tr w14:paraId="3F933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9" w:hRule="atLeast"/>
                <w:jc w:val="center"/>
              </w:trPr>
              <w:tc>
                <w:tcPr>
                  <w:tcW w:w="365" w:type="dxa"/>
                  <w:vMerge w:val="restart"/>
                  <w:tcBorders>
                    <w:top w:val="single" w:color="auto" w:sz="4" w:space="0"/>
                    <w:left w:val="single" w:color="auto" w:sz="4" w:space="0"/>
                    <w:bottom w:val="single" w:color="auto" w:sz="4" w:space="0"/>
                    <w:right w:val="single" w:color="auto" w:sz="4" w:space="0"/>
                  </w:tcBorders>
                  <w:vAlign w:val="center"/>
                </w:tcPr>
                <w:p w14:paraId="666ABC54">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序号</w:t>
                  </w:r>
                </w:p>
              </w:tc>
              <w:tc>
                <w:tcPr>
                  <w:tcW w:w="1274" w:type="dxa"/>
                  <w:vMerge w:val="restart"/>
                  <w:tcBorders>
                    <w:top w:val="single" w:color="auto" w:sz="4" w:space="0"/>
                    <w:left w:val="single" w:color="auto" w:sz="4" w:space="0"/>
                    <w:bottom w:val="single" w:color="auto" w:sz="4" w:space="0"/>
                    <w:right w:val="single" w:color="auto" w:sz="4" w:space="0"/>
                  </w:tcBorders>
                  <w:vAlign w:val="center"/>
                </w:tcPr>
                <w:p w14:paraId="274C8089">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生产设施编号</w:t>
                  </w:r>
                  <w:r>
                    <w:rPr>
                      <w:rFonts w:hint="default"/>
                      <w:b/>
                      <w:bCs/>
                      <w:color w:val="auto"/>
                      <w:sz w:val="15"/>
                      <w:szCs w:val="15"/>
                    </w:rPr>
                    <w:t>/</w:t>
                  </w:r>
                  <w:r>
                    <w:rPr>
                      <w:rFonts w:hint="eastAsia" w:ascii="宋体" w:hAnsi="宋体"/>
                      <w:b/>
                      <w:bCs/>
                      <w:color w:val="auto"/>
                      <w:sz w:val="15"/>
                      <w:szCs w:val="15"/>
                    </w:rPr>
                    <w:t>有</w:t>
                  </w:r>
                  <w:r>
                    <w:rPr>
                      <w:rFonts w:hint="default" w:ascii="宋体" w:hAnsi="宋体"/>
                      <w:b/>
                      <w:bCs/>
                      <w:color w:val="auto"/>
                      <w:sz w:val="15"/>
                      <w:szCs w:val="15"/>
                    </w:rPr>
                    <w:t>组织排放编号</w:t>
                  </w:r>
                </w:p>
              </w:tc>
              <w:tc>
                <w:tcPr>
                  <w:tcW w:w="453" w:type="dxa"/>
                  <w:vMerge w:val="restart"/>
                  <w:tcBorders>
                    <w:top w:val="single" w:color="auto" w:sz="4" w:space="0"/>
                    <w:left w:val="single" w:color="auto" w:sz="4" w:space="0"/>
                    <w:bottom w:val="single" w:color="auto" w:sz="4" w:space="0"/>
                    <w:right w:val="single" w:color="auto" w:sz="4" w:space="0"/>
                  </w:tcBorders>
                  <w:vAlign w:val="center"/>
                </w:tcPr>
                <w:p w14:paraId="11D03B90">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产污</w:t>
                  </w:r>
                </w:p>
                <w:p w14:paraId="1CD9859A">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环节</w:t>
                  </w:r>
                </w:p>
              </w:tc>
              <w:tc>
                <w:tcPr>
                  <w:tcW w:w="454" w:type="dxa"/>
                  <w:vMerge w:val="restart"/>
                  <w:tcBorders>
                    <w:top w:val="single" w:color="auto" w:sz="4" w:space="0"/>
                    <w:left w:val="single" w:color="auto" w:sz="4" w:space="0"/>
                    <w:bottom w:val="single" w:color="auto" w:sz="4" w:space="0"/>
                    <w:right w:val="single" w:color="auto" w:sz="4" w:space="0"/>
                  </w:tcBorders>
                  <w:vAlign w:val="center"/>
                </w:tcPr>
                <w:p w14:paraId="6FAA716C">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污染物种类</w:t>
                  </w:r>
                </w:p>
              </w:tc>
              <w:tc>
                <w:tcPr>
                  <w:tcW w:w="1574" w:type="dxa"/>
                  <w:gridSpan w:val="3"/>
                  <w:tcBorders>
                    <w:top w:val="single" w:color="auto" w:sz="4" w:space="0"/>
                    <w:left w:val="single" w:color="auto" w:sz="4" w:space="0"/>
                    <w:bottom w:val="single" w:color="auto" w:sz="4" w:space="0"/>
                    <w:right w:val="single" w:color="auto" w:sz="4" w:space="0"/>
                  </w:tcBorders>
                  <w:vAlign w:val="center"/>
                </w:tcPr>
                <w:p w14:paraId="6DF27C10">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排放情况</w:t>
                  </w:r>
                </w:p>
              </w:tc>
              <w:tc>
                <w:tcPr>
                  <w:tcW w:w="3477" w:type="dxa"/>
                  <w:gridSpan w:val="6"/>
                  <w:tcBorders>
                    <w:top w:val="single" w:color="auto" w:sz="4" w:space="0"/>
                    <w:left w:val="single" w:color="auto" w:sz="4" w:space="0"/>
                    <w:bottom w:val="single" w:color="auto" w:sz="4" w:space="0"/>
                    <w:right w:val="single" w:color="auto" w:sz="4" w:space="0"/>
                  </w:tcBorders>
                  <w:vAlign w:val="center"/>
                </w:tcPr>
                <w:p w14:paraId="246EAB07">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排放口信息</w:t>
                  </w:r>
                </w:p>
              </w:tc>
              <w:tc>
                <w:tcPr>
                  <w:tcW w:w="407" w:type="dxa"/>
                  <w:vMerge w:val="restart"/>
                  <w:tcBorders>
                    <w:top w:val="single" w:color="auto" w:sz="4" w:space="0"/>
                    <w:left w:val="single" w:color="auto" w:sz="4" w:space="0"/>
                    <w:bottom w:val="single" w:color="auto" w:sz="4" w:space="0"/>
                    <w:right w:val="single" w:color="auto" w:sz="4" w:space="0"/>
                  </w:tcBorders>
                  <w:vAlign w:val="center"/>
                </w:tcPr>
                <w:p w14:paraId="58E71D04">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其他</w:t>
                  </w:r>
                </w:p>
                <w:p w14:paraId="24C1FB13">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信息</w:t>
                  </w:r>
                </w:p>
              </w:tc>
            </w:tr>
            <w:tr w14:paraId="0086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365" w:type="dxa"/>
                  <w:vMerge w:val="continue"/>
                  <w:tcBorders>
                    <w:top w:val="single" w:color="auto" w:sz="4" w:space="0"/>
                    <w:left w:val="single" w:color="auto" w:sz="4" w:space="0"/>
                    <w:bottom w:val="single" w:color="auto" w:sz="4" w:space="0"/>
                    <w:right w:val="single" w:color="auto" w:sz="4" w:space="0"/>
                  </w:tcBorders>
                  <w:vAlign w:val="center"/>
                </w:tcPr>
                <w:p w14:paraId="7F9740B5">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left"/>
                    <w:rPr>
                      <w:rFonts w:hint="default"/>
                      <w:b/>
                      <w:bCs/>
                      <w:color w:val="auto"/>
                      <w:sz w:val="15"/>
                      <w:szCs w:val="15"/>
                    </w:rPr>
                  </w:pPr>
                </w:p>
              </w:tc>
              <w:tc>
                <w:tcPr>
                  <w:tcW w:w="1274" w:type="dxa"/>
                  <w:vMerge w:val="continue"/>
                  <w:tcBorders>
                    <w:top w:val="single" w:color="auto" w:sz="4" w:space="0"/>
                    <w:left w:val="single" w:color="auto" w:sz="4" w:space="0"/>
                    <w:bottom w:val="single" w:color="auto" w:sz="4" w:space="0"/>
                    <w:right w:val="single" w:color="auto" w:sz="4" w:space="0"/>
                  </w:tcBorders>
                  <w:vAlign w:val="center"/>
                </w:tcPr>
                <w:p w14:paraId="1F6C6E90">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left"/>
                    <w:rPr>
                      <w:rFonts w:hint="default"/>
                      <w:b/>
                      <w:bCs/>
                      <w:color w:val="auto"/>
                      <w:sz w:val="15"/>
                      <w:szCs w:val="15"/>
                    </w:rPr>
                  </w:pPr>
                </w:p>
              </w:tc>
              <w:tc>
                <w:tcPr>
                  <w:tcW w:w="453" w:type="dxa"/>
                  <w:vMerge w:val="continue"/>
                  <w:tcBorders>
                    <w:top w:val="single" w:color="auto" w:sz="4" w:space="0"/>
                    <w:left w:val="single" w:color="auto" w:sz="4" w:space="0"/>
                    <w:bottom w:val="single" w:color="auto" w:sz="4" w:space="0"/>
                    <w:right w:val="single" w:color="auto" w:sz="4" w:space="0"/>
                  </w:tcBorders>
                  <w:vAlign w:val="center"/>
                </w:tcPr>
                <w:p w14:paraId="34F20DE5">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left"/>
                    <w:rPr>
                      <w:rFonts w:hint="default"/>
                      <w:b/>
                      <w:bCs/>
                      <w:color w:val="auto"/>
                      <w:sz w:val="15"/>
                      <w:szCs w:val="15"/>
                    </w:rPr>
                  </w:pPr>
                </w:p>
              </w:tc>
              <w:tc>
                <w:tcPr>
                  <w:tcW w:w="454" w:type="dxa"/>
                  <w:vMerge w:val="continue"/>
                  <w:tcBorders>
                    <w:top w:val="single" w:color="auto" w:sz="4" w:space="0"/>
                    <w:left w:val="single" w:color="auto" w:sz="4" w:space="0"/>
                    <w:bottom w:val="single" w:color="auto" w:sz="4" w:space="0"/>
                    <w:right w:val="single" w:color="auto" w:sz="4" w:space="0"/>
                  </w:tcBorders>
                  <w:vAlign w:val="center"/>
                </w:tcPr>
                <w:p w14:paraId="49F70ACC">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left"/>
                    <w:rPr>
                      <w:rFonts w:hint="default"/>
                      <w:b/>
                      <w:bCs/>
                      <w:color w:val="auto"/>
                      <w:sz w:val="15"/>
                      <w:szCs w:val="15"/>
                    </w:rPr>
                  </w:pPr>
                </w:p>
              </w:tc>
              <w:tc>
                <w:tcPr>
                  <w:tcW w:w="502" w:type="dxa"/>
                  <w:tcBorders>
                    <w:top w:val="single" w:color="auto" w:sz="4" w:space="0"/>
                    <w:left w:val="single" w:color="auto" w:sz="4" w:space="0"/>
                    <w:bottom w:val="single" w:color="auto" w:sz="4" w:space="0"/>
                    <w:right w:val="single" w:color="auto" w:sz="4" w:space="0"/>
                  </w:tcBorders>
                  <w:vAlign w:val="center"/>
                </w:tcPr>
                <w:p w14:paraId="707E4F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量</w:t>
                  </w:r>
                </w:p>
                <w:p w14:paraId="7E053439">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eastAsia"/>
                      <w:color w:val="auto"/>
                      <w:sz w:val="15"/>
                      <w:szCs w:val="15"/>
                      <w:lang w:val="en-US" w:eastAsia="zh-CN"/>
                    </w:rPr>
                    <w:t>t</w:t>
                  </w:r>
                  <w:r>
                    <w:rPr>
                      <w:rFonts w:hint="default"/>
                      <w:color w:val="auto"/>
                      <w:sz w:val="15"/>
                      <w:szCs w:val="15"/>
                    </w:rPr>
                    <w:t>/a</w:t>
                  </w:r>
                </w:p>
              </w:tc>
              <w:tc>
                <w:tcPr>
                  <w:tcW w:w="613" w:type="dxa"/>
                  <w:tcBorders>
                    <w:top w:val="single" w:color="auto" w:sz="4" w:space="0"/>
                    <w:left w:val="single" w:color="auto" w:sz="4" w:space="0"/>
                    <w:bottom w:val="single" w:color="auto" w:sz="4" w:space="0"/>
                    <w:right w:val="single" w:color="auto" w:sz="4" w:space="0"/>
                  </w:tcBorders>
                  <w:vAlign w:val="center"/>
                </w:tcPr>
                <w:p w14:paraId="078CFCE0">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浓度</w:t>
                  </w:r>
                  <w:r>
                    <w:rPr>
                      <w:rFonts w:hint="default"/>
                      <w:color w:val="auto"/>
                      <w:sz w:val="15"/>
                      <w:szCs w:val="15"/>
                    </w:rPr>
                    <w:t>mg/m</w:t>
                  </w:r>
                  <w:r>
                    <w:rPr>
                      <w:rFonts w:hint="default"/>
                      <w:color w:val="auto"/>
                      <w:sz w:val="15"/>
                      <w:szCs w:val="15"/>
                      <w:vertAlign w:val="superscript"/>
                    </w:rPr>
                    <w:t>3</w:t>
                  </w:r>
                </w:p>
              </w:tc>
              <w:tc>
                <w:tcPr>
                  <w:tcW w:w="459" w:type="dxa"/>
                  <w:tcBorders>
                    <w:top w:val="single" w:color="auto" w:sz="4" w:space="0"/>
                    <w:left w:val="single" w:color="auto" w:sz="4" w:space="0"/>
                    <w:bottom w:val="single" w:color="auto" w:sz="4" w:space="0"/>
                    <w:right w:val="single" w:color="auto" w:sz="4" w:space="0"/>
                  </w:tcBorders>
                  <w:vAlign w:val="center"/>
                </w:tcPr>
                <w:p w14:paraId="767A1DA2">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速率</w:t>
                  </w:r>
                  <w:r>
                    <w:rPr>
                      <w:rFonts w:hint="default"/>
                      <w:color w:val="auto"/>
                      <w:sz w:val="15"/>
                      <w:szCs w:val="15"/>
                    </w:rPr>
                    <w:t>kg/h</w:t>
                  </w:r>
                </w:p>
              </w:tc>
              <w:tc>
                <w:tcPr>
                  <w:tcW w:w="765" w:type="dxa"/>
                  <w:tcBorders>
                    <w:top w:val="single" w:color="auto" w:sz="4" w:space="0"/>
                    <w:left w:val="single" w:color="auto" w:sz="4" w:space="0"/>
                    <w:bottom w:val="single" w:color="auto" w:sz="4" w:space="0"/>
                    <w:right w:val="single" w:color="auto" w:sz="4" w:space="0"/>
                  </w:tcBorders>
                  <w:vAlign w:val="center"/>
                </w:tcPr>
                <w:p w14:paraId="64E5D148">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编号</w:t>
                  </w:r>
                </w:p>
              </w:tc>
              <w:tc>
                <w:tcPr>
                  <w:tcW w:w="564" w:type="dxa"/>
                  <w:tcBorders>
                    <w:top w:val="single" w:color="auto" w:sz="4" w:space="0"/>
                    <w:left w:val="single" w:color="auto" w:sz="4" w:space="0"/>
                    <w:bottom w:val="single" w:color="auto" w:sz="4" w:space="0"/>
                    <w:right w:val="single" w:color="auto" w:sz="4" w:space="0"/>
                  </w:tcBorders>
                  <w:vAlign w:val="center"/>
                </w:tcPr>
                <w:p w14:paraId="0E65203D">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类型</w:t>
                  </w:r>
                </w:p>
              </w:tc>
              <w:tc>
                <w:tcPr>
                  <w:tcW w:w="970" w:type="dxa"/>
                  <w:tcBorders>
                    <w:top w:val="single" w:color="auto" w:sz="4" w:space="0"/>
                    <w:left w:val="single" w:color="auto" w:sz="4" w:space="0"/>
                    <w:bottom w:val="single" w:color="auto" w:sz="4" w:space="0"/>
                    <w:right w:val="single" w:color="auto" w:sz="4" w:space="0"/>
                  </w:tcBorders>
                  <w:vAlign w:val="center"/>
                </w:tcPr>
                <w:p w14:paraId="60C76D32">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坐标</w:t>
                  </w:r>
                </w:p>
              </w:tc>
              <w:tc>
                <w:tcPr>
                  <w:tcW w:w="400" w:type="dxa"/>
                  <w:tcBorders>
                    <w:top w:val="single" w:color="auto" w:sz="4" w:space="0"/>
                    <w:left w:val="single" w:color="auto" w:sz="4" w:space="0"/>
                    <w:bottom w:val="single" w:color="auto" w:sz="4" w:space="0"/>
                    <w:right w:val="single" w:color="auto" w:sz="4" w:space="0"/>
                  </w:tcBorders>
                  <w:vAlign w:val="center"/>
                </w:tcPr>
                <w:p w14:paraId="524AAA3E">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高度</w:t>
                  </w:r>
                </w:p>
              </w:tc>
              <w:tc>
                <w:tcPr>
                  <w:tcW w:w="400" w:type="dxa"/>
                  <w:tcBorders>
                    <w:top w:val="single" w:color="auto" w:sz="4" w:space="0"/>
                    <w:left w:val="single" w:color="auto" w:sz="4" w:space="0"/>
                    <w:bottom w:val="single" w:color="auto" w:sz="4" w:space="0"/>
                    <w:right w:val="single" w:color="auto" w:sz="4" w:space="0"/>
                  </w:tcBorders>
                  <w:vAlign w:val="center"/>
                </w:tcPr>
                <w:p w14:paraId="215C25FB">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内径</w:t>
                  </w:r>
                </w:p>
              </w:tc>
              <w:tc>
                <w:tcPr>
                  <w:tcW w:w="378" w:type="dxa"/>
                  <w:tcBorders>
                    <w:top w:val="single" w:color="auto" w:sz="4" w:space="0"/>
                    <w:left w:val="single" w:color="auto" w:sz="4" w:space="0"/>
                    <w:bottom w:val="single" w:color="auto" w:sz="4" w:space="0"/>
                    <w:right w:val="single" w:color="auto" w:sz="4" w:space="0"/>
                  </w:tcBorders>
                  <w:vAlign w:val="center"/>
                </w:tcPr>
                <w:p w14:paraId="138200FE">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b/>
                      <w:bCs/>
                      <w:color w:val="auto"/>
                      <w:sz w:val="15"/>
                      <w:szCs w:val="15"/>
                    </w:rPr>
                  </w:pPr>
                  <w:r>
                    <w:rPr>
                      <w:rFonts w:hint="default" w:ascii="宋体" w:hAnsi="宋体"/>
                      <w:b/>
                      <w:bCs/>
                      <w:color w:val="auto"/>
                      <w:sz w:val="15"/>
                      <w:szCs w:val="15"/>
                    </w:rPr>
                    <w:t>温度</w:t>
                  </w:r>
                </w:p>
              </w:tc>
              <w:tc>
                <w:tcPr>
                  <w:tcW w:w="407" w:type="dxa"/>
                  <w:vMerge w:val="continue"/>
                  <w:tcBorders>
                    <w:top w:val="single" w:color="auto" w:sz="4" w:space="0"/>
                    <w:left w:val="single" w:color="auto" w:sz="4" w:space="0"/>
                    <w:bottom w:val="single" w:color="auto" w:sz="4" w:space="0"/>
                    <w:right w:val="single" w:color="auto" w:sz="4" w:space="0"/>
                  </w:tcBorders>
                  <w:vAlign w:val="center"/>
                </w:tcPr>
                <w:p w14:paraId="7D12C4A5">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left"/>
                    <w:rPr>
                      <w:rFonts w:hint="default"/>
                      <w:b/>
                      <w:bCs/>
                      <w:color w:val="auto"/>
                      <w:sz w:val="15"/>
                      <w:szCs w:val="15"/>
                    </w:rPr>
                  </w:pPr>
                </w:p>
              </w:tc>
            </w:tr>
            <w:tr w14:paraId="52ADD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 w:hRule="atLeast"/>
                <w:jc w:val="center"/>
              </w:trPr>
              <w:tc>
                <w:tcPr>
                  <w:tcW w:w="365" w:type="dxa"/>
                  <w:tcBorders>
                    <w:top w:val="single" w:color="auto" w:sz="4" w:space="0"/>
                    <w:left w:val="single" w:color="auto" w:sz="4" w:space="0"/>
                    <w:bottom w:val="single" w:color="auto" w:sz="4" w:space="0"/>
                    <w:right w:val="single" w:color="auto" w:sz="4" w:space="0"/>
                  </w:tcBorders>
                  <w:vAlign w:val="center"/>
                </w:tcPr>
                <w:p w14:paraId="1EFDCA5E">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center"/>
                    <w:rPr>
                      <w:rFonts w:hint="default"/>
                      <w:color w:val="auto"/>
                      <w:sz w:val="15"/>
                      <w:szCs w:val="15"/>
                    </w:rPr>
                  </w:pPr>
                  <w:r>
                    <w:rPr>
                      <w:rFonts w:hint="eastAsia"/>
                      <w:color w:val="auto"/>
                      <w:sz w:val="15"/>
                      <w:szCs w:val="15"/>
                    </w:rPr>
                    <w:t>1</w:t>
                  </w:r>
                </w:p>
              </w:tc>
              <w:tc>
                <w:tcPr>
                  <w:tcW w:w="1274" w:type="dxa"/>
                  <w:tcBorders>
                    <w:top w:val="single" w:color="auto" w:sz="4" w:space="0"/>
                    <w:left w:val="single" w:color="auto" w:sz="4" w:space="0"/>
                    <w:bottom w:val="single" w:color="auto" w:sz="4" w:space="0"/>
                    <w:right w:val="single" w:color="auto" w:sz="4" w:space="0"/>
                  </w:tcBorders>
                  <w:vAlign w:val="center"/>
                </w:tcPr>
                <w:p w14:paraId="3255694F">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center"/>
                    <w:rPr>
                      <w:rFonts w:hint="default"/>
                      <w:color w:val="auto"/>
                      <w:sz w:val="15"/>
                      <w:szCs w:val="15"/>
                    </w:rPr>
                  </w:pPr>
                  <w:r>
                    <w:rPr>
                      <w:rFonts w:hint="eastAsia"/>
                      <w:color w:val="auto"/>
                      <w:sz w:val="15"/>
                      <w:szCs w:val="15"/>
                    </w:rPr>
                    <w:t>中药煎药室</w:t>
                  </w:r>
                  <w:r>
                    <w:rPr>
                      <w:rFonts w:hint="default"/>
                      <w:color w:val="auto"/>
                      <w:sz w:val="15"/>
                      <w:szCs w:val="15"/>
                    </w:rPr>
                    <w:t>MF000</w:t>
                  </w:r>
                  <w:r>
                    <w:rPr>
                      <w:rFonts w:hint="eastAsia"/>
                      <w:color w:val="auto"/>
                      <w:sz w:val="15"/>
                      <w:szCs w:val="15"/>
                    </w:rPr>
                    <w:t>3</w:t>
                  </w:r>
                </w:p>
              </w:tc>
              <w:tc>
                <w:tcPr>
                  <w:tcW w:w="453" w:type="dxa"/>
                  <w:tcBorders>
                    <w:top w:val="single" w:color="auto" w:sz="4" w:space="0"/>
                    <w:left w:val="single" w:color="auto" w:sz="4" w:space="0"/>
                    <w:bottom w:val="single" w:color="auto" w:sz="4" w:space="0"/>
                    <w:right w:val="single" w:color="auto" w:sz="4" w:space="0"/>
                  </w:tcBorders>
                  <w:vAlign w:val="center"/>
                </w:tcPr>
                <w:p w14:paraId="6CBA1911">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center"/>
                    <w:rPr>
                      <w:rFonts w:hint="default"/>
                      <w:color w:val="auto"/>
                      <w:sz w:val="15"/>
                      <w:szCs w:val="15"/>
                    </w:rPr>
                  </w:pPr>
                  <w:r>
                    <w:rPr>
                      <w:rFonts w:hint="eastAsia"/>
                      <w:color w:val="auto"/>
                      <w:sz w:val="18"/>
                      <w:szCs w:val="18"/>
                      <w:lang w:val="en-US" w:eastAsia="zh-CN"/>
                    </w:rPr>
                    <w:t>药材煎煮</w:t>
                  </w:r>
                </w:p>
              </w:tc>
              <w:tc>
                <w:tcPr>
                  <w:tcW w:w="454" w:type="dxa"/>
                  <w:tcBorders>
                    <w:top w:val="single" w:color="auto" w:sz="4" w:space="0"/>
                    <w:left w:val="single" w:color="auto" w:sz="4" w:space="0"/>
                    <w:bottom w:val="single" w:color="auto" w:sz="4" w:space="0"/>
                    <w:right w:val="single" w:color="auto" w:sz="4" w:space="0"/>
                  </w:tcBorders>
                  <w:vAlign w:val="center"/>
                </w:tcPr>
                <w:p w14:paraId="5A79DB3F">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color w:val="auto"/>
                      <w:sz w:val="15"/>
                      <w:szCs w:val="15"/>
                    </w:rPr>
                  </w:pPr>
                  <w:r>
                    <w:rPr>
                      <w:rFonts w:hint="eastAsia"/>
                      <w:color w:val="auto"/>
                      <w:sz w:val="15"/>
                      <w:szCs w:val="15"/>
                    </w:rPr>
                    <w:t>臭气浓度</w:t>
                  </w:r>
                </w:p>
              </w:tc>
              <w:tc>
                <w:tcPr>
                  <w:tcW w:w="502" w:type="dxa"/>
                  <w:tcBorders>
                    <w:top w:val="single" w:color="auto" w:sz="4" w:space="0"/>
                    <w:left w:val="single" w:color="auto" w:sz="4" w:space="0"/>
                    <w:bottom w:val="single" w:color="auto" w:sz="4" w:space="0"/>
                    <w:right w:val="single" w:color="auto" w:sz="4" w:space="0"/>
                  </w:tcBorders>
                  <w:vAlign w:val="center"/>
                </w:tcPr>
                <w:p w14:paraId="026A5C18">
                  <w:pPr>
                    <w:keepNext w:val="0"/>
                    <w:keepLines w:val="0"/>
                    <w:pageBreakBefore w:val="0"/>
                    <w:widowControl/>
                    <w:suppressLineNumbers w:val="0"/>
                    <w:kinsoku/>
                    <w:wordWrap/>
                    <w:overflowPunct/>
                    <w:topLinePunct w:val="0"/>
                    <w:autoSpaceDE w:val="0"/>
                    <w:autoSpaceDN/>
                    <w:bidi w:val="0"/>
                    <w:spacing w:before="0" w:beforeAutospacing="0" w:after="0" w:afterAutospacing="0" w:line="360" w:lineRule="exact"/>
                    <w:ind w:left="0" w:right="0"/>
                    <w:jc w:val="center"/>
                    <w:textAlignment w:val="bottom"/>
                    <w:rPr>
                      <w:rFonts w:hint="eastAsia" w:eastAsia="宋体"/>
                      <w:color w:val="auto"/>
                      <w:kern w:val="0"/>
                      <w:sz w:val="15"/>
                      <w:szCs w:val="15"/>
                      <w:lang w:val="en-US" w:eastAsia="zh-CN"/>
                    </w:rPr>
                  </w:pPr>
                  <w:r>
                    <w:rPr>
                      <w:rFonts w:hint="eastAsia"/>
                      <w:color w:val="auto"/>
                      <w:kern w:val="0"/>
                      <w:sz w:val="15"/>
                      <w:szCs w:val="15"/>
                      <w:lang w:val="en-US" w:eastAsia="zh-CN"/>
                    </w:rPr>
                    <w:t>/</w:t>
                  </w:r>
                </w:p>
              </w:tc>
              <w:tc>
                <w:tcPr>
                  <w:tcW w:w="613" w:type="dxa"/>
                  <w:tcBorders>
                    <w:top w:val="single" w:color="auto" w:sz="4" w:space="0"/>
                    <w:left w:val="single" w:color="auto" w:sz="4" w:space="0"/>
                    <w:bottom w:val="single" w:color="auto" w:sz="4" w:space="0"/>
                    <w:right w:val="single" w:color="auto" w:sz="4" w:space="0"/>
                  </w:tcBorders>
                  <w:vAlign w:val="center"/>
                </w:tcPr>
                <w:p w14:paraId="4F15FB30">
                  <w:pPr>
                    <w:keepNext w:val="0"/>
                    <w:keepLines w:val="0"/>
                    <w:pageBreakBefore w:val="0"/>
                    <w:suppressLineNumbers w:val="0"/>
                    <w:kinsoku/>
                    <w:wordWrap/>
                    <w:overflowPunct/>
                    <w:topLinePunct w:val="0"/>
                    <w:autoSpaceDE w:val="0"/>
                    <w:autoSpaceDN/>
                    <w:bidi w:val="0"/>
                    <w:spacing w:before="0" w:beforeAutospacing="0" w:after="0" w:afterAutospacing="0" w:line="360" w:lineRule="exact"/>
                    <w:ind w:left="0" w:right="0"/>
                    <w:jc w:val="center"/>
                    <w:rPr>
                      <w:rFonts w:hint="default" w:eastAsia="宋体"/>
                      <w:color w:val="auto"/>
                      <w:kern w:val="0"/>
                      <w:sz w:val="15"/>
                      <w:szCs w:val="15"/>
                      <w:lang w:val="en-US" w:eastAsia="zh-CN"/>
                    </w:rPr>
                  </w:pPr>
                  <w:r>
                    <w:rPr>
                      <w:rFonts w:hint="eastAsia"/>
                      <w:color w:val="auto"/>
                      <w:kern w:val="0"/>
                      <w:sz w:val="15"/>
                      <w:szCs w:val="15"/>
                      <w:lang w:val="en-US" w:eastAsia="zh-CN"/>
                    </w:rPr>
                    <w:t>＜10</w:t>
                  </w:r>
                </w:p>
              </w:tc>
              <w:tc>
                <w:tcPr>
                  <w:tcW w:w="459" w:type="dxa"/>
                  <w:tcBorders>
                    <w:top w:val="single" w:color="auto" w:sz="4" w:space="0"/>
                    <w:left w:val="single" w:color="auto" w:sz="4" w:space="0"/>
                    <w:bottom w:val="single" w:color="auto" w:sz="4" w:space="0"/>
                    <w:right w:val="single" w:color="auto" w:sz="4" w:space="0"/>
                  </w:tcBorders>
                  <w:vAlign w:val="center"/>
                </w:tcPr>
                <w:p w14:paraId="66B450FA">
                  <w:pPr>
                    <w:keepNext w:val="0"/>
                    <w:keepLines w:val="0"/>
                    <w:pageBreakBefore w:val="0"/>
                    <w:widowControl/>
                    <w:suppressLineNumbers w:val="0"/>
                    <w:kinsoku/>
                    <w:wordWrap/>
                    <w:overflowPunct/>
                    <w:topLinePunct w:val="0"/>
                    <w:autoSpaceDE w:val="0"/>
                    <w:autoSpaceDN/>
                    <w:bidi w:val="0"/>
                    <w:spacing w:before="0" w:beforeAutospacing="0" w:after="0" w:afterAutospacing="0" w:line="360" w:lineRule="exact"/>
                    <w:ind w:left="0" w:right="0"/>
                    <w:jc w:val="center"/>
                    <w:textAlignment w:val="bottom"/>
                    <w:rPr>
                      <w:rFonts w:hint="default"/>
                      <w:color w:val="auto"/>
                      <w:kern w:val="0"/>
                      <w:sz w:val="15"/>
                      <w:szCs w:val="15"/>
                    </w:rPr>
                  </w:pPr>
                  <w:r>
                    <w:rPr>
                      <w:rFonts w:hint="eastAsia"/>
                      <w:color w:val="auto"/>
                      <w:kern w:val="0"/>
                      <w:sz w:val="15"/>
                      <w:szCs w:val="15"/>
                    </w:rPr>
                    <w:t>/</w:t>
                  </w:r>
                </w:p>
              </w:tc>
              <w:tc>
                <w:tcPr>
                  <w:tcW w:w="765" w:type="dxa"/>
                  <w:tcBorders>
                    <w:top w:val="single" w:color="auto" w:sz="4" w:space="0"/>
                    <w:left w:val="single" w:color="auto" w:sz="4" w:space="0"/>
                    <w:bottom w:val="single" w:color="auto" w:sz="4" w:space="0"/>
                    <w:right w:val="single" w:color="auto" w:sz="4" w:space="0"/>
                  </w:tcBorders>
                  <w:vAlign w:val="center"/>
                </w:tcPr>
                <w:p w14:paraId="78D516E5">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center"/>
                    <w:rPr>
                      <w:rFonts w:hint="eastAsia" w:eastAsia="宋体"/>
                      <w:color w:val="auto"/>
                      <w:sz w:val="15"/>
                      <w:szCs w:val="15"/>
                      <w:lang w:eastAsia="zh-CN"/>
                    </w:rPr>
                  </w:pPr>
                  <w:r>
                    <w:rPr>
                      <w:rFonts w:hint="default"/>
                      <w:color w:val="auto"/>
                      <w:sz w:val="15"/>
                      <w:szCs w:val="15"/>
                    </w:rPr>
                    <w:t>DA00</w:t>
                  </w:r>
                  <w:r>
                    <w:rPr>
                      <w:rFonts w:hint="eastAsia"/>
                      <w:color w:val="auto"/>
                      <w:sz w:val="15"/>
                      <w:szCs w:val="15"/>
                      <w:lang w:val="en-US" w:eastAsia="zh-CN"/>
                    </w:rPr>
                    <w:t>1</w:t>
                  </w:r>
                </w:p>
              </w:tc>
              <w:tc>
                <w:tcPr>
                  <w:tcW w:w="564" w:type="dxa"/>
                  <w:tcBorders>
                    <w:top w:val="single" w:color="auto" w:sz="4" w:space="0"/>
                    <w:left w:val="single" w:color="auto" w:sz="4" w:space="0"/>
                    <w:bottom w:val="single" w:color="auto" w:sz="4" w:space="0"/>
                    <w:right w:val="single" w:color="auto" w:sz="4" w:space="0"/>
                  </w:tcBorders>
                  <w:vAlign w:val="center"/>
                </w:tcPr>
                <w:p w14:paraId="5A7F50B7">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color w:val="auto"/>
                      <w:sz w:val="15"/>
                      <w:szCs w:val="15"/>
                    </w:rPr>
                  </w:pPr>
                  <w:r>
                    <w:rPr>
                      <w:rFonts w:hint="default" w:ascii="宋体" w:hAnsi="宋体"/>
                      <w:color w:val="auto"/>
                      <w:sz w:val="15"/>
                      <w:szCs w:val="15"/>
                    </w:rPr>
                    <w:t>一般</w:t>
                  </w:r>
                </w:p>
                <w:p w14:paraId="5E448DAF">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center"/>
                    <w:rPr>
                      <w:rFonts w:hint="default"/>
                      <w:color w:val="auto"/>
                      <w:sz w:val="15"/>
                      <w:szCs w:val="15"/>
                    </w:rPr>
                  </w:pPr>
                  <w:r>
                    <w:rPr>
                      <w:rFonts w:hint="default" w:ascii="宋体" w:hAnsi="宋体"/>
                      <w:color w:val="auto"/>
                      <w:sz w:val="15"/>
                      <w:szCs w:val="15"/>
                    </w:rPr>
                    <w:t>排口</w:t>
                  </w:r>
                </w:p>
              </w:tc>
              <w:tc>
                <w:tcPr>
                  <w:tcW w:w="970" w:type="dxa"/>
                  <w:tcBorders>
                    <w:top w:val="single" w:color="auto" w:sz="4" w:space="0"/>
                    <w:left w:val="single" w:color="auto" w:sz="4" w:space="0"/>
                    <w:bottom w:val="single" w:color="auto" w:sz="4" w:space="0"/>
                    <w:right w:val="single" w:color="auto" w:sz="4" w:space="0"/>
                  </w:tcBorders>
                  <w:vAlign w:val="center"/>
                </w:tcPr>
                <w:p w14:paraId="303A68CA">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center"/>
                    <w:rPr>
                      <w:rFonts w:hint="default"/>
                      <w:color w:val="auto"/>
                      <w:sz w:val="15"/>
                      <w:szCs w:val="15"/>
                    </w:rPr>
                  </w:pPr>
                  <w:r>
                    <w:rPr>
                      <w:rFonts w:hint="eastAsia"/>
                      <w:color w:val="auto"/>
                      <w:sz w:val="15"/>
                      <w:szCs w:val="15"/>
                      <w:lang w:val="en-US" w:eastAsia="zh-CN"/>
                    </w:rPr>
                    <w:t>E</w:t>
                  </w:r>
                  <w:r>
                    <w:rPr>
                      <w:rFonts w:hint="eastAsia"/>
                      <w:color w:val="auto"/>
                      <w:sz w:val="15"/>
                      <w:szCs w:val="15"/>
                    </w:rPr>
                    <w:t>107°32′16.54″,</w:t>
                  </w:r>
                  <w:r>
                    <w:rPr>
                      <w:rFonts w:hint="eastAsia"/>
                      <w:color w:val="auto"/>
                      <w:sz w:val="15"/>
                      <w:szCs w:val="15"/>
                      <w:lang w:val="en-US" w:eastAsia="zh-CN"/>
                    </w:rPr>
                    <w:t>N</w:t>
                  </w:r>
                  <w:r>
                    <w:rPr>
                      <w:rFonts w:hint="eastAsia"/>
                      <w:color w:val="auto"/>
                      <w:sz w:val="15"/>
                      <w:szCs w:val="15"/>
                    </w:rPr>
                    <w:t>31°18′29.20″</w:t>
                  </w:r>
                </w:p>
              </w:tc>
              <w:tc>
                <w:tcPr>
                  <w:tcW w:w="400" w:type="dxa"/>
                  <w:tcBorders>
                    <w:top w:val="single" w:color="auto" w:sz="4" w:space="0"/>
                    <w:left w:val="single" w:color="auto" w:sz="4" w:space="0"/>
                    <w:bottom w:val="single" w:color="auto" w:sz="4" w:space="0"/>
                    <w:right w:val="single" w:color="auto" w:sz="4" w:space="0"/>
                  </w:tcBorders>
                  <w:vAlign w:val="center"/>
                </w:tcPr>
                <w:p w14:paraId="24C30B44">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center"/>
                    <w:rPr>
                      <w:rFonts w:hint="default"/>
                      <w:color w:val="auto"/>
                      <w:sz w:val="15"/>
                      <w:szCs w:val="15"/>
                    </w:rPr>
                  </w:pPr>
                  <w:r>
                    <w:rPr>
                      <w:rFonts w:hint="eastAsia"/>
                      <w:color w:val="auto"/>
                      <w:sz w:val="15"/>
                      <w:szCs w:val="15"/>
                      <w:lang w:val="en-US" w:eastAsia="zh-CN"/>
                    </w:rPr>
                    <w:t>15</w:t>
                  </w:r>
                  <w:r>
                    <w:rPr>
                      <w:rFonts w:hint="eastAsia"/>
                      <w:color w:val="auto"/>
                      <w:sz w:val="15"/>
                      <w:szCs w:val="15"/>
                    </w:rPr>
                    <w:t>m</w:t>
                  </w:r>
                </w:p>
              </w:tc>
              <w:tc>
                <w:tcPr>
                  <w:tcW w:w="400" w:type="dxa"/>
                  <w:tcBorders>
                    <w:top w:val="single" w:color="auto" w:sz="4" w:space="0"/>
                    <w:left w:val="single" w:color="auto" w:sz="4" w:space="0"/>
                    <w:bottom w:val="single" w:color="auto" w:sz="4" w:space="0"/>
                    <w:right w:val="single" w:color="auto" w:sz="4" w:space="0"/>
                  </w:tcBorders>
                  <w:vAlign w:val="center"/>
                </w:tcPr>
                <w:p w14:paraId="061E341B">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color w:val="auto"/>
                      <w:sz w:val="15"/>
                      <w:szCs w:val="15"/>
                    </w:rPr>
                  </w:pPr>
                  <w:r>
                    <w:rPr>
                      <w:rFonts w:hint="default"/>
                      <w:color w:val="auto"/>
                      <w:sz w:val="15"/>
                      <w:szCs w:val="15"/>
                    </w:rPr>
                    <w:t>0.3m</w:t>
                  </w:r>
                </w:p>
              </w:tc>
              <w:tc>
                <w:tcPr>
                  <w:tcW w:w="378" w:type="dxa"/>
                  <w:tcBorders>
                    <w:top w:val="single" w:color="auto" w:sz="4" w:space="0"/>
                    <w:left w:val="single" w:color="auto" w:sz="4" w:space="0"/>
                    <w:bottom w:val="single" w:color="auto" w:sz="4" w:space="0"/>
                    <w:right w:val="single" w:color="auto" w:sz="4" w:space="0"/>
                  </w:tcBorders>
                  <w:vAlign w:val="center"/>
                </w:tcPr>
                <w:p w14:paraId="1A106E09">
                  <w:pPr>
                    <w:keepNext w:val="0"/>
                    <w:keepLines w:val="0"/>
                    <w:pageBreakBefore w:val="0"/>
                    <w:suppressLineNumbers w:val="0"/>
                    <w:kinsoku/>
                    <w:wordWrap/>
                    <w:overflowPunct/>
                    <w:topLinePunct w:val="0"/>
                    <w:autoSpaceDN/>
                    <w:bidi w:val="0"/>
                    <w:adjustRightInd w:val="0"/>
                    <w:snapToGrid w:val="0"/>
                    <w:spacing w:before="0" w:beforeAutospacing="0" w:after="0" w:afterAutospacing="0" w:line="360" w:lineRule="exact"/>
                    <w:ind w:left="0" w:right="0"/>
                    <w:jc w:val="center"/>
                    <w:rPr>
                      <w:rFonts w:hint="default"/>
                      <w:color w:val="auto"/>
                      <w:sz w:val="15"/>
                      <w:szCs w:val="15"/>
                    </w:rPr>
                  </w:pPr>
                  <w:r>
                    <w:rPr>
                      <w:rFonts w:hint="eastAsia"/>
                      <w:color w:val="auto"/>
                      <w:sz w:val="15"/>
                      <w:szCs w:val="15"/>
                    </w:rPr>
                    <w:t>30</w:t>
                  </w:r>
                  <w:r>
                    <w:rPr>
                      <w:rFonts w:hint="default"/>
                      <w:color w:val="auto"/>
                      <w:sz w:val="15"/>
                      <w:szCs w:val="15"/>
                    </w:rPr>
                    <w:t>℃</w:t>
                  </w:r>
                </w:p>
              </w:tc>
              <w:tc>
                <w:tcPr>
                  <w:tcW w:w="407" w:type="dxa"/>
                  <w:tcBorders>
                    <w:top w:val="single" w:color="auto" w:sz="4" w:space="0"/>
                    <w:left w:val="single" w:color="auto" w:sz="4" w:space="0"/>
                    <w:bottom w:val="single" w:color="auto" w:sz="4" w:space="0"/>
                    <w:right w:val="single" w:color="auto" w:sz="4" w:space="0"/>
                  </w:tcBorders>
                  <w:vAlign w:val="center"/>
                </w:tcPr>
                <w:p w14:paraId="59B75FFC">
                  <w:pPr>
                    <w:keepNext w:val="0"/>
                    <w:keepLines w:val="0"/>
                    <w:pageBreakBefore w:val="0"/>
                    <w:widowControl/>
                    <w:suppressLineNumbers w:val="0"/>
                    <w:kinsoku/>
                    <w:wordWrap/>
                    <w:overflowPunct/>
                    <w:topLinePunct w:val="0"/>
                    <w:autoSpaceDN/>
                    <w:bidi w:val="0"/>
                    <w:spacing w:before="0" w:beforeAutospacing="0" w:after="0" w:afterAutospacing="0" w:line="360" w:lineRule="exact"/>
                    <w:ind w:left="0" w:right="0"/>
                    <w:jc w:val="center"/>
                    <w:rPr>
                      <w:rFonts w:hint="default"/>
                      <w:color w:val="auto"/>
                      <w:sz w:val="15"/>
                      <w:szCs w:val="15"/>
                    </w:rPr>
                  </w:pPr>
                  <w:r>
                    <w:rPr>
                      <w:rFonts w:hint="eastAsia"/>
                      <w:color w:val="auto"/>
                      <w:sz w:val="15"/>
                      <w:szCs w:val="15"/>
                    </w:rPr>
                    <w:t>/</w:t>
                  </w:r>
                </w:p>
              </w:tc>
            </w:tr>
          </w:tbl>
          <w:p w14:paraId="1CDB8213">
            <w:pPr>
              <w:keepNext w:val="0"/>
              <w:keepLines w:val="0"/>
              <w:suppressLineNumbers w:val="0"/>
              <w:tabs>
                <w:tab w:val="left" w:pos="2088"/>
              </w:tabs>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4-3</w:t>
            </w:r>
            <w:r>
              <w:rPr>
                <w:rFonts w:hint="default" w:eastAsia="黑体"/>
                <w:color w:val="auto"/>
                <w:sz w:val="18"/>
                <w:szCs w:val="18"/>
              </w:rPr>
              <w:t xml:space="preserve"> </w:t>
            </w:r>
            <w:r>
              <w:rPr>
                <w:rFonts w:hint="eastAsia" w:eastAsia="黑体"/>
                <w:color w:val="auto"/>
                <w:sz w:val="18"/>
                <w:szCs w:val="18"/>
              </w:rPr>
              <w:t xml:space="preserve">    </w:t>
            </w:r>
            <w:r>
              <w:rPr>
                <w:rFonts w:hint="default" w:eastAsia="黑体"/>
                <w:color w:val="auto"/>
                <w:sz w:val="18"/>
                <w:szCs w:val="18"/>
              </w:rPr>
              <w:t>大气污染物无组织排放表</w:t>
            </w:r>
          </w:p>
          <w:tbl>
            <w:tblPr>
              <w:tblStyle w:val="13"/>
              <w:tblW w:w="7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7"/>
              <w:gridCol w:w="1054"/>
              <w:gridCol w:w="755"/>
              <w:gridCol w:w="797"/>
              <w:gridCol w:w="1476"/>
              <w:gridCol w:w="1854"/>
              <w:gridCol w:w="997"/>
              <w:gridCol w:w="514"/>
            </w:tblGrid>
            <w:tr w14:paraId="0C158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 w:hRule="atLeast"/>
                <w:tblHeader/>
                <w:jc w:val="center"/>
              </w:trPr>
              <w:tc>
                <w:tcPr>
                  <w:tcW w:w="467" w:type="dxa"/>
                  <w:vMerge w:val="restart"/>
                  <w:vAlign w:val="center"/>
                </w:tcPr>
                <w:p w14:paraId="306719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序号</w:t>
                  </w:r>
                </w:p>
              </w:tc>
              <w:tc>
                <w:tcPr>
                  <w:tcW w:w="1054" w:type="dxa"/>
                  <w:vMerge w:val="restart"/>
                  <w:vAlign w:val="center"/>
                </w:tcPr>
                <w:p w14:paraId="2B6AF2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生产设施编号/无组织排放编号</w:t>
                  </w:r>
                </w:p>
              </w:tc>
              <w:tc>
                <w:tcPr>
                  <w:tcW w:w="755" w:type="dxa"/>
                  <w:vMerge w:val="restart"/>
                  <w:vAlign w:val="center"/>
                </w:tcPr>
                <w:p w14:paraId="0B40CF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产污</w:t>
                  </w:r>
                </w:p>
                <w:p w14:paraId="7821FD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环节</w:t>
                  </w:r>
                </w:p>
              </w:tc>
              <w:tc>
                <w:tcPr>
                  <w:tcW w:w="797" w:type="dxa"/>
                  <w:vMerge w:val="restart"/>
                  <w:vAlign w:val="center"/>
                </w:tcPr>
                <w:p w14:paraId="740CB5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污染物</w:t>
                  </w:r>
                </w:p>
                <w:p w14:paraId="13ABA4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种类</w:t>
                  </w:r>
                </w:p>
              </w:tc>
              <w:tc>
                <w:tcPr>
                  <w:tcW w:w="1476" w:type="dxa"/>
                  <w:vMerge w:val="restart"/>
                  <w:vAlign w:val="center"/>
                </w:tcPr>
                <w:p w14:paraId="70FA84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主要污染防治</w:t>
                  </w:r>
                </w:p>
                <w:p w14:paraId="01741C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措施</w:t>
                  </w:r>
                </w:p>
              </w:tc>
              <w:tc>
                <w:tcPr>
                  <w:tcW w:w="2851" w:type="dxa"/>
                  <w:gridSpan w:val="2"/>
                  <w:vAlign w:val="center"/>
                </w:tcPr>
                <w:p w14:paraId="00E3C8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国家或地方污染物排放标准</w:t>
                  </w:r>
                </w:p>
              </w:tc>
              <w:tc>
                <w:tcPr>
                  <w:tcW w:w="514" w:type="dxa"/>
                  <w:vMerge w:val="restart"/>
                  <w:vAlign w:val="center"/>
                </w:tcPr>
                <w:p w14:paraId="69E2D2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其他</w:t>
                  </w:r>
                </w:p>
                <w:p w14:paraId="595140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信息</w:t>
                  </w:r>
                </w:p>
              </w:tc>
            </w:tr>
            <w:tr w14:paraId="5E03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 w:hRule="atLeast"/>
                <w:tblHeader/>
                <w:jc w:val="center"/>
              </w:trPr>
              <w:tc>
                <w:tcPr>
                  <w:tcW w:w="467" w:type="dxa"/>
                  <w:vMerge w:val="continue"/>
                  <w:vAlign w:val="center"/>
                </w:tcPr>
                <w:p w14:paraId="17B296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1054" w:type="dxa"/>
                  <w:vMerge w:val="continue"/>
                  <w:vAlign w:val="center"/>
                </w:tcPr>
                <w:p w14:paraId="5AC7AD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755" w:type="dxa"/>
                  <w:vMerge w:val="continue"/>
                  <w:vAlign w:val="center"/>
                </w:tcPr>
                <w:p w14:paraId="32A5AD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797" w:type="dxa"/>
                  <w:vMerge w:val="continue"/>
                  <w:vAlign w:val="center"/>
                </w:tcPr>
                <w:p w14:paraId="2EFBCE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1476" w:type="dxa"/>
                  <w:vMerge w:val="continue"/>
                  <w:vAlign w:val="center"/>
                </w:tcPr>
                <w:p w14:paraId="77205F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c>
                <w:tcPr>
                  <w:tcW w:w="1854" w:type="dxa"/>
                  <w:vAlign w:val="center"/>
                </w:tcPr>
                <w:p w14:paraId="5D0823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名称</w:t>
                  </w:r>
                </w:p>
              </w:tc>
              <w:tc>
                <w:tcPr>
                  <w:tcW w:w="997" w:type="dxa"/>
                  <w:vAlign w:val="center"/>
                </w:tcPr>
                <w:p w14:paraId="5F9D90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浓度限值</w:t>
                  </w:r>
                </w:p>
                <w:p w14:paraId="67FB3E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r>
                    <w:rPr>
                      <w:rFonts w:hint="default"/>
                      <w:b/>
                      <w:bCs/>
                      <w:color w:val="auto"/>
                      <w:sz w:val="18"/>
                      <w:szCs w:val="18"/>
                    </w:rPr>
                    <w:t>（mg/m</w:t>
                  </w:r>
                  <w:r>
                    <w:rPr>
                      <w:rFonts w:hint="default"/>
                      <w:b/>
                      <w:bCs/>
                      <w:color w:val="auto"/>
                      <w:sz w:val="18"/>
                      <w:szCs w:val="18"/>
                      <w:vertAlign w:val="superscript"/>
                    </w:rPr>
                    <w:t>3</w:t>
                  </w:r>
                  <w:r>
                    <w:rPr>
                      <w:rFonts w:hint="default"/>
                      <w:b/>
                      <w:bCs/>
                      <w:color w:val="auto"/>
                      <w:sz w:val="18"/>
                      <w:szCs w:val="18"/>
                    </w:rPr>
                    <w:t>）</w:t>
                  </w:r>
                </w:p>
              </w:tc>
              <w:tc>
                <w:tcPr>
                  <w:tcW w:w="514" w:type="dxa"/>
                  <w:vMerge w:val="continue"/>
                  <w:vAlign w:val="center"/>
                </w:tcPr>
                <w:p w14:paraId="38D182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b/>
                      <w:bCs/>
                      <w:color w:val="auto"/>
                      <w:sz w:val="18"/>
                      <w:szCs w:val="18"/>
                    </w:rPr>
                  </w:pPr>
                </w:p>
              </w:tc>
            </w:tr>
            <w:tr w14:paraId="28423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tblHeader/>
                <w:jc w:val="center"/>
              </w:trPr>
              <w:tc>
                <w:tcPr>
                  <w:tcW w:w="467" w:type="dxa"/>
                  <w:vAlign w:val="center"/>
                </w:tcPr>
                <w:p w14:paraId="6F9F7B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1</w:t>
                  </w:r>
                </w:p>
              </w:tc>
              <w:tc>
                <w:tcPr>
                  <w:tcW w:w="1054" w:type="dxa"/>
                  <w:vAlign w:val="center"/>
                </w:tcPr>
                <w:p w14:paraId="3397B8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MF0001</w:t>
                  </w:r>
                </w:p>
              </w:tc>
              <w:tc>
                <w:tcPr>
                  <w:tcW w:w="755" w:type="dxa"/>
                  <w:vAlign w:val="center"/>
                </w:tcPr>
                <w:p w14:paraId="45FCE5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检验、诊治</w:t>
                  </w:r>
                </w:p>
              </w:tc>
              <w:tc>
                <w:tcPr>
                  <w:tcW w:w="797" w:type="dxa"/>
                  <w:vAlign w:val="center"/>
                </w:tcPr>
                <w:p w14:paraId="1C1ABD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药水异味</w:t>
                  </w:r>
                </w:p>
              </w:tc>
              <w:tc>
                <w:tcPr>
                  <w:tcW w:w="1476" w:type="dxa"/>
                  <w:vAlign w:val="center"/>
                </w:tcPr>
                <w:p w14:paraId="37F4AE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通风换气</w:t>
                  </w:r>
                </w:p>
              </w:tc>
              <w:tc>
                <w:tcPr>
                  <w:tcW w:w="1854" w:type="dxa"/>
                  <w:vAlign w:val="center"/>
                </w:tcPr>
                <w:p w14:paraId="52E3A9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w:t>
                  </w:r>
                </w:p>
              </w:tc>
              <w:tc>
                <w:tcPr>
                  <w:tcW w:w="997" w:type="dxa"/>
                  <w:vAlign w:val="center"/>
                </w:tcPr>
                <w:p w14:paraId="5FEED9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w:t>
                  </w:r>
                </w:p>
              </w:tc>
              <w:tc>
                <w:tcPr>
                  <w:tcW w:w="514" w:type="dxa"/>
                  <w:vAlign w:val="center"/>
                </w:tcPr>
                <w:p w14:paraId="2B9789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w:t>
                  </w:r>
                </w:p>
              </w:tc>
            </w:tr>
            <w:tr w14:paraId="22549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tblHeader/>
                <w:jc w:val="center"/>
              </w:trPr>
              <w:tc>
                <w:tcPr>
                  <w:tcW w:w="467" w:type="dxa"/>
                  <w:vAlign w:val="center"/>
                </w:tcPr>
                <w:p w14:paraId="4EB8C0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2</w:t>
                  </w:r>
                </w:p>
              </w:tc>
              <w:tc>
                <w:tcPr>
                  <w:tcW w:w="1054" w:type="dxa"/>
                  <w:vAlign w:val="center"/>
                </w:tcPr>
                <w:p w14:paraId="2FE49D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MF0002</w:t>
                  </w:r>
                </w:p>
              </w:tc>
              <w:tc>
                <w:tcPr>
                  <w:tcW w:w="755" w:type="dxa"/>
                  <w:vAlign w:val="center"/>
                </w:tcPr>
                <w:p w14:paraId="7E40B5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污水</w:t>
                  </w:r>
                </w:p>
                <w:p w14:paraId="3063BA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处理</w:t>
                  </w:r>
                </w:p>
              </w:tc>
              <w:tc>
                <w:tcPr>
                  <w:tcW w:w="797" w:type="dxa"/>
                  <w:vAlign w:val="center"/>
                </w:tcPr>
                <w:p w14:paraId="64CFF8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NH</w:t>
                  </w:r>
                  <w:r>
                    <w:rPr>
                      <w:rFonts w:hint="default"/>
                      <w:color w:val="auto"/>
                      <w:sz w:val="18"/>
                      <w:szCs w:val="18"/>
                      <w:vertAlign w:val="subscript"/>
                    </w:rPr>
                    <w:t>3</w:t>
                  </w:r>
                  <w:r>
                    <w:rPr>
                      <w:rFonts w:hint="eastAsia"/>
                      <w:color w:val="auto"/>
                      <w:sz w:val="18"/>
                      <w:szCs w:val="18"/>
                    </w:rPr>
                    <w:t>、</w:t>
                  </w:r>
                  <w:r>
                    <w:rPr>
                      <w:rFonts w:hint="default"/>
                      <w:color w:val="auto"/>
                      <w:sz w:val="18"/>
                      <w:szCs w:val="18"/>
                    </w:rPr>
                    <w:t>H</w:t>
                  </w:r>
                  <w:r>
                    <w:rPr>
                      <w:rFonts w:hint="default"/>
                      <w:color w:val="auto"/>
                      <w:sz w:val="18"/>
                      <w:szCs w:val="18"/>
                      <w:vertAlign w:val="subscript"/>
                    </w:rPr>
                    <w:t>2</w:t>
                  </w:r>
                  <w:r>
                    <w:rPr>
                      <w:rFonts w:hint="default"/>
                      <w:color w:val="auto"/>
                      <w:sz w:val="18"/>
                      <w:szCs w:val="18"/>
                    </w:rPr>
                    <w:t>S</w:t>
                  </w:r>
                </w:p>
              </w:tc>
              <w:tc>
                <w:tcPr>
                  <w:tcW w:w="1476" w:type="dxa"/>
                  <w:vAlign w:val="center"/>
                </w:tcPr>
                <w:p w14:paraId="67A235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强制通风换气、喷洒生物除臭剂</w:t>
                  </w:r>
                </w:p>
              </w:tc>
              <w:tc>
                <w:tcPr>
                  <w:tcW w:w="1854" w:type="dxa"/>
                  <w:vAlign w:val="center"/>
                </w:tcPr>
                <w:p w14:paraId="019CA1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bCs/>
                      <w:color w:val="auto"/>
                      <w:kern w:val="0"/>
                      <w:sz w:val="18"/>
                      <w:szCs w:val="18"/>
                    </w:rPr>
                    <w:t>《医疗机构水污染物排放标准》（GB18466-2005）</w:t>
                  </w:r>
                </w:p>
              </w:tc>
              <w:tc>
                <w:tcPr>
                  <w:tcW w:w="997" w:type="dxa"/>
                  <w:vAlign w:val="center"/>
                </w:tcPr>
                <w:p w14:paraId="2807B4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NH</w:t>
                  </w:r>
                  <w:r>
                    <w:rPr>
                      <w:rFonts w:hint="default"/>
                      <w:color w:val="auto"/>
                      <w:sz w:val="18"/>
                      <w:szCs w:val="18"/>
                      <w:vertAlign w:val="subscript"/>
                    </w:rPr>
                    <w:t>3</w:t>
                  </w:r>
                  <w:r>
                    <w:rPr>
                      <w:rFonts w:hint="eastAsia"/>
                      <w:color w:val="auto"/>
                      <w:sz w:val="18"/>
                      <w:szCs w:val="18"/>
                    </w:rPr>
                    <w:t>≤1.0</w:t>
                  </w:r>
                </w:p>
                <w:p w14:paraId="332DE3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H</w:t>
                  </w:r>
                  <w:r>
                    <w:rPr>
                      <w:rFonts w:hint="default"/>
                      <w:color w:val="auto"/>
                      <w:sz w:val="18"/>
                      <w:szCs w:val="18"/>
                      <w:vertAlign w:val="subscript"/>
                    </w:rPr>
                    <w:t>2</w:t>
                  </w:r>
                  <w:r>
                    <w:rPr>
                      <w:rFonts w:hint="default"/>
                      <w:color w:val="auto"/>
                      <w:sz w:val="18"/>
                      <w:szCs w:val="18"/>
                    </w:rPr>
                    <w:t>S</w:t>
                  </w:r>
                  <w:r>
                    <w:rPr>
                      <w:rFonts w:hint="eastAsia"/>
                      <w:color w:val="auto"/>
                      <w:sz w:val="18"/>
                      <w:szCs w:val="18"/>
                    </w:rPr>
                    <w:t>≤0.03</w:t>
                  </w:r>
                </w:p>
              </w:tc>
              <w:tc>
                <w:tcPr>
                  <w:tcW w:w="514" w:type="dxa"/>
                  <w:vAlign w:val="center"/>
                </w:tcPr>
                <w:p w14:paraId="2F6D1D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w:t>
                  </w:r>
                </w:p>
              </w:tc>
            </w:tr>
          </w:tbl>
          <w:p w14:paraId="588ABFA9">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（3）环境影响分析</w:t>
            </w:r>
          </w:p>
          <w:p w14:paraId="6F41A01D">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本项目废气污染物主要医疗废气、恶臭</w:t>
            </w:r>
            <w:r>
              <w:rPr>
                <w:rFonts w:hint="eastAsia"/>
                <w:color w:val="auto"/>
                <w:szCs w:val="21"/>
                <w:lang w:eastAsia="zh-CN"/>
              </w:rPr>
              <w:t>、</w:t>
            </w:r>
            <w:r>
              <w:rPr>
                <w:rFonts w:hint="eastAsia"/>
                <w:color w:val="auto"/>
                <w:szCs w:val="21"/>
                <w:lang w:val="en-US" w:eastAsia="zh-CN"/>
              </w:rPr>
              <w:t>煎药废气</w:t>
            </w:r>
            <w:r>
              <w:rPr>
                <w:rFonts w:hint="eastAsia"/>
                <w:color w:val="auto"/>
                <w:szCs w:val="21"/>
              </w:rPr>
              <w:t>等，通过对医院各科室房间加强机械通风换气</w:t>
            </w:r>
            <w:r>
              <w:rPr>
                <w:rFonts w:hint="eastAsia"/>
                <w:color w:val="auto"/>
                <w:szCs w:val="21"/>
                <w:lang w:eastAsia="zh-CN"/>
              </w:rPr>
              <w:t>，</w:t>
            </w:r>
            <w:r>
              <w:rPr>
                <w:rFonts w:hint="eastAsia"/>
                <w:color w:val="auto"/>
                <w:szCs w:val="21"/>
              </w:rPr>
              <w:t>废水站恶臭采取喷洒生物除臭剂</w:t>
            </w:r>
            <w:r>
              <w:rPr>
                <w:rFonts w:hint="eastAsia"/>
                <w:color w:val="auto"/>
                <w:szCs w:val="21"/>
                <w:lang w:eastAsia="zh-CN"/>
              </w:rPr>
              <w:t>，</w:t>
            </w:r>
            <w:r>
              <w:rPr>
                <w:rFonts w:hint="eastAsia"/>
                <w:color w:val="auto"/>
                <w:szCs w:val="21"/>
                <w:lang w:val="en-US" w:eastAsia="zh-CN"/>
              </w:rPr>
              <w:t>煎药废气收集至活性炭吸附装置净化处理等措施</w:t>
            </w:r>
            <w:r>
              <w:rPr>
                <w:rFonts w:hint="eastAsia"/>
                <w:color w:val="auto"/>
                <w:szCs w:val="21"/>
              </w:rPr>
              <w:t>。项目废气对周围环境的污染影响较小，对所在区域大气环境影响程度为可以接受的影响程度。</w:t>
            </w:r>
          </w:p>
          <w:p w14:paraId="1B8B6BEA">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（4）监测计划</w:t>
            </w:r>
          </w:p>
          <w:p w14:paraId="1EE46ABB">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 xml:space="preserve">4-4   </w:t>
            </w:r>
            <w:r>
              <w:rPr>
                <w:rFonts w:hint="default" w:eastAsia="黑体"/>
                <w:color w:val="auto"/>
                <w:sz w:val="18"/>
                <w:szCs w:val="18"/>
              </w:rPr>
              <w:t xml:space="preserve">   营运期</w:t>
            </w:r>
            <w:r>
              <w:rPr>
                <w:rFonts w:hint="eastAsia" w:eastAsia="黑体"/>
                <w:color w:val="auto"/>
                <w:sz w:val="18"/>
                <w:szCs w:val="18"/>
              </w:rPr>
              <w:t>废气</w:t>
            </w:r>
            <w:r>
              <w:rPr>
                <w:rFonts w:hint="default" w:eastAsia="黑体"/>
                <w:color w:val="auto"/>
                <w:sz w:val="18"/>
                <w:szCs w:val="18"/>
              </w:rPr>
              <w:t>监测计划</w:t>
            </w:r>
          </w:p>
          <w:tbl>
            <w:tblPr>
              <w:tblStyle w:val="13"/>
              <w:tblW w:w="7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1716"/>
              <w:gridCol w:w="1780"/>
              <w:gridCol w:w="1967"/>
              <w:gridCol w:w="1167"/>
            </w:tblGrid>
            <w:tr w14:paraId="3B9C0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247" w:type="dxa"/>
                  <w:tcBorders>
                    <w:top w:val="single" w:color="auto" w:sz="4" w:space="0"/>
                    <w:left w:val="single" w:color="auto" w:sz="4" w:space="0"/>
                    <w:bottom w:val="single" w:color="auto" w:sz="4" w:space="0"/>
                    <w:right w:val="single" w:color="auto" w:sz="4" w:space="0"/>
                  </w:tcBorders>
                  <w:vAlign w:val="center"/>
                </w:tcPr>
                <w:p w14:paraId="46860C29">
                  <w:pPr>
                    <w:keepNext w:val="0"/>
                    <w:keepLines w:val="0"/>
                    <w:suppressLineNumbers w:val="0"/>
                    <w:autoSpaceDE w:val="0"/>
                    <w:autoSpaceDN w:val="0"/>
                    <w:adjustRightInd w:val="0"/>
                    <w:spacing w:before="0" w:beforeAutospacing="0" w:after="0" w:afterAutospacing="0" w:line="340" w:lineRule="exact"/>
                    <w:ind w:left="0" w:right="0"/>
                    <w:jc w:val="center"/>
                    <w:rPr>
                      <w:rFonts w:hint="default"/>
                      <w:b/>
                      <w:color w:val="auto"/>
                      <w:sz w:val="18"/>
                      <w:szCs w:val="18"/>
                    </w:rPr>
                  </w:pPr>
                  <w:r>
                    <w:rPr>
                      <w:rFonts w:hint="default"/>
                      <w:b/>
                      <w:color w:val="auto"/>
                      <w:sz w:val="18"/>
                      <w:szCs w:val="18"/>
                    </w:rPr>
                    <w:t>监测项目</w:t>
                  </w:r>
                </w:p>
              </w:tc>
              <w:tc>
                <w:tcPr>
                  <w:tcW w:w="1716" w:type="dxa"/>
                  <w:tcBorders>
                    <w:top w:val="single" w:color="auto" w:sz="4" w:space="0"/>
                    <w:left w:val="nil"/>
                    <w:bottom w:val="single" w:color="auto" w:sz="4" w:space="0"/>
                    <w:right w:val="single" w:color="auto" w:sz="4" w:space="0"/>
                  </w:tcBorders>
                  <w:vAlign w:val="center"/>
                </w:tcPr>
                <w:p w14:paraId="783E3DA6">
                  <w:pPr>
                    <w:keepNext w:val="0"/>
                    <w:keepLines w:val="0"/>
                    <w:suppressLineNumbers w:val="0"/>
                    <w:autoSpaceDE w:val="0"/>
                    <w:autoSpaceDN w:val="0"/>
                    <w:adjustRightInd w:val="0"/>
                    <w:spacing w:before="0" w:beforeAutospacing="0" w:after="0" w:afterAutospacing="0" w:line="340" w:lineRule="exact"/>
                    <w:ind w:left="0" w:right="0"/>
                    <w:jc w:val="center"/>
                    <w:rPr>
                      <w:rFonts w:hint="default"/>
                      <w:b/>
                      <w:color w:val="auto"/>
                      <w:sz w:val="18"/>
                      <w:szCs w:val="18"/>
                    </w:rPr>
                  </w:pPr>
                  <w:r>
                    <w:rPr>
                      <w:rFonts w:hint="default"/>
                      <w:b/>
                      <w:color w:val="auto"/>
                      <w:sz w:val="18"/>
                      <w:szCs w:val="18"/>
                    </w:rPr>
                    <w:t>监测点位</w:t>
                  </w:r>
                </w:p>
              </w:tc>
              <w:tc>
                <w:tcPr>
                  <w:tcW w:w="1780" w:type="dxa"/>
                  <w:tcBorders>
                    <w:top w:val="single" w:color="auto" w:sz="4" w:space="0"/>
                    <w:left w:val="nil"/>
                    <w:bottom w:val="single" w:color="auto" w:sz="4" w:space="0"/>
                    <w:right w:val="single" w:color="auto" w:sz="4" w:space="0"/>
                  </w:tcBorders>
                  <w:vAlign w:val="center"/>
                </w:tcPr>
                <w:p w14:paraId="7ABCA9A7">
                  <w:pPr>
                    <w:keepNext w:val="0"/>
                    <w:keepLines w:val="0"/>
                    <w:suppressLineNumbers w:val="0"/>
                    <w:autoSpaceDE w:val="0"/>
                    <w:autoSpaceDN w:val="0"/>
                    <w:adjustRightInd w:val="0"/>
                    <w:spacing w:before="0" w:beforeAutospacing="0" w:after="0" w:afterAutospacing="0" w:line="340" w:lineRule="exact"/>
                    <w:ind w:left="0" w:right="0"/>
                    <w:jc w:val="center"/>
                    <w:rPr>
                      <w:rFonts w:hint="default"/>
                      <w:b/>
                      <w:color w:val="auto"/>
                      <w:sz w:val="18"/>
                      <w:szCs w:val="18"/>
                    </w:rPr>
                  </w:pPr>
                  <w:r>
                    <w:rPr>
                      <w:rFonts w:hint="default"/>
                      <w:b/>
                      <w:color w:val="auto"/>
                      <w:sz w:val="18"/>
                      <w:szCs w:val="18"/>
                    </w:rPr>
                    <w:t>监测因子</w:t>
                  </w:r>
                </w:p>
              </w:tc>
              <w:tc>
                <w:tcPr>
                  <w:tcW w:w="1967" w:type="dxa"/>
                  <w:tcBorders>
                    <w:top w:val="single" w:color="auto" w:sz="4" w:space="0"/>
                    <w:left w:val="nil"/>
                    <w:bottom w:val="single" w:color="auto" w:sz="4" w:space="0"/>
                    <w:right w:val="single" w:color="auto" w:sz="4" w:space="0"/>
                  </w:tcBorders>
                  <w:vAlign w:val="center"/>
                </w:tcPr>
                <w:p w14:paraId="0FB43B03">
                  <w:pPr>
                    <w:keepNext w:val="0"/>
                    <w:keepLines w:val="0"/>
                    <w:suppressLineNumbers w:val="0"/>
                    <w:autoSpaceDE w:val="0"/>
                    <w:autoSpaceDN w:val="0"/>
                    <w:adjustRightInd w:val="0"/>
                    <w:spacing w:before="0" w:beforeAutospacing="0" w:after="0" w:afterAutospacing="0" w:line="340" w:lineRule="exact"/>
                    <w:ind w:left="0" w:right="0"/>
                    <w:jc w:val="center"/>
                    <w:rPr>
                      <w:rFonts w:hint="default"/>
                      <w:b/>
                      <w:color w:val="auto"/>
                      <w:sz w:val="18"/>
                      <w:szCs w:val="18"/>
                    </w:rPr>
                  </w:pPr>
                  <w:r>
                    <w:rPr>
                      <w:rFonts w:hint="default"/>
                      <w:b/>
                      <w:color w:val="auto"/>
                      <w:sz w:val="18"/>
                      <w:szCs w:val="18"/>
                    </w:rPr>
                    <w:t>监测</w:t>
                  </w:r>
                  <w:r>
                    <w:rPr>
                      <w:rFonts w:hint="eastAsia"/>
                      <w:b/>
                      <w:color w:val="auto"/>
                      <w:sz w:val="18"/>
                      <w:szCs w:val="18"/>
                    </w:rPr>
                    <w:t>频次</w:t>
                  </w:r>
                </w:p>
              </w:tc>
              <w:tc>
                <w:tcPr>
                  <w:tcW w:w="1167" w:type="dxa"/>
                  <w:tcBorders>
                    <w:top w:val="single" w:color="auto" w:sz="4" w:space="0"/>
                    <w:left w:val="nil"/>
                    <w:bottom w:val="single" w:color="auto" w:sz="4" w:space="0"/>
                    <w:right w:val="single" w:color="auto" w:sz="4" w:space="0"/>
                  </w:tcBorders>
                  <w:vAlign w:val="center"/>
                </w:tcPr>
                <w:p w14:paraId="2EF0ED24">
                  <w:pPr>
                    <w:keepNext w:val="0"/>
                    <w:keepLines w:val="0"/>
                    <w:suppressLineNumbers w:val="0"/>
                    <w:autoSpaceDE w:val="0"/>
                    <w:autoSpaceDN w:val="0"/>
                    <w:adjustRightInd w:val="0"/>
                    <w:spacing w:before="0" w:beforeAutospacing="0" w:after="0" w:afterAutospacing="0" w:line="340" w:lineRule="exact"/>
                    <w:ind w:left="0" w:right="0"/>
                    <w:jc w:val="center"/>
                    <w:rPr>
                      <w:rFonts w:hint="default"/>
                      <w:b/>
                      <w:color w:val="auto"/>
                      <w:sz w:val="18"/>
                      <w:szCs w:val="18"/>
                    </w:rPr>
                  </w:pPr>
                  <w:r>
                    <w:rPr>
                      <w:rFonts w:hint="default"/>
                      <w:b/>
                      <w:color w:val="auto"/>
                      <w:sz w:val="18"/>
                      <w:szCs w:val="18"/>
                    </w:rPr>
                    <w:t>监测周期</w:t>
                  </w:r>
                </w:p>
              </w:tc>
            </w:tr>
            <w:tr w14:paraId="6439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247" w:type="dxa"/>
                  <w:tcBorders>
                    <w:top w:val="single" w:color="auto" w:sz="4" w:space="0"/>
                    <w:left w:val="single" w:color="auto" w:sz="4" w:space="0"/>
                    <w:bottom w:val="single" w:color="auto" w:sz="4" w:space="0"/>
                    <w:right w:val="single" w:color="auto" w:sz="4" w:space="0"/>
                  </w:tcBorders>
                  <w:vAlign w:val="center"/>
                </w:tcPr>
                <w:p w14:paraId="76E37EAD">
                  <w:pPr>
                    <w:keepNext w:val="0"/>
                    <w:keepLines w:val="0"/>
                    <w:suppressLineNumbers w:val="0"/>
                    <w:autoSpaceDE w:val="0"/>
                    <w:autoSpaceDN w:val="0"/>
                    <w:adjustRightInd w:val="0"/>
                    <w:spacing w:before="0" w:beforeAutospacing="0" w:after="0" w:afterAutospacing="0" w:line="340" w:lineRule="exact"/>
                    <w:ind w:left="0" w:right="0"/>
                    <w:jc w:val="center"/>
                    <w:rPr>
                      <w:rFonts w:hint="default"/>
                      <w:bCs/>
                      <w:color w:val="auto"/>
                      <w:sz w:val="18"/>
                      <w:szCs w:val="18"/>
                    </w:rPr>
                  </w:pPr>
                  <w:r>
                    <w:rPr>
                      <w:rFonts w:hint="default" w:ascii="宋体" w:hAnsi="宋体"/>
                      <w:bCs/>
                      <w:color w:val="auto"/>
                      <w:sz w:val="18"/>
                      <w:szCs w:val="18"/>
                    </w:rPr>
                    <w:t>无组织废气</w:t>
                  </w:r>
                </w:p>
              </w:tc>
              <w:tc>
                <w:tcPr>
                  <w:tcW w:w="1716" w:type="dxa"/>
                  <w:tcBorders>
                    <w:top w:val="single" w:color="auto" w:sz="4" w:space="0"/>
                    <w:left w:val="nil"/>
                    <w:bottom w:val="single" w:color="auto" w:sz="4" w:space="0"/>
                    <w:right w:val="single" w:color="auto" w:sz="4" w:space="0"/>
                  </w:tcBorders>
                  <w:vAlign w:val="center"/>
                </w:tcPr>
                <w:p w14:paraId="7153AAAB">
                  <w:pPr>
                    <w:keepNext w:val="0"/>
                    <w:keepLines w:val="0"/>
                    <w:suppressLineNumbers w:val="0"/>
                    <w:autoSpaceDE w:val="0"/>
                    <w:autoSpaceDN w:val="0"/>
                    <w:adjustRightInd w:val="0"/>
                    <w:spacing w:before="0" w:beforeAutospacing="0" w:after="0" w:afterAutospacing="0" w:line="340" w:lineRule="exact"/>
                    <w:ind w:left="0" w:right="0"/>
                    <w:jc w:val="center"/>
                    <w:rPr>
                      <w:rFonts w:hint="default"/>
                      <w:bCs/>
                      <w:color w:val="auto"/>
                      <w:sz w:val="18"/>
                      <w:szCs w:val="18"/>
                    </w:rPr>
                  </w:pPr>
                  <w:r>
                    <w:rPr>
                      <w:rFonts w:hint="eastAsia" w:ascii="宋体" w:hAnsi="宋体"/>
                      <w:bCs/>
                      <w:color w:val="auto"/>
                      <w:sz w:val="18"/>
                      <w:szCs w:val="18"/>
                    </w:rPr>
                    <w:t>废水</w:t>
                  </w:r>
                  <w:r>
                    <w:rPr>
                      <w:rFonts w:hint="default" w:ascii="宋体" w:hAnsi="宋体"/>
                      <w:bCs/>
                      <w:color w:val="auto"/>
                      <w:sz w:val="18"/>
                      <w:szCs w:val="18"/>
                    </w:rPr>
                    <w:t>站周</w:t>
                  </w:r>
                  <w:r>
                    <w:rPr>
                      <w:rFonts w:hint="eastAsia" w:ascii="宋体" w:hAnsi="宋体"/>
                      <w:bCs/>
                      <w:color w:val="auto"/>
                      <w:sz w:val="18"/>
                      <w:szCs w:val="18"/>
                    </w:rPr>
                    <w:t>界</w:t>
                  </w:r>
                </w:p>
              </w:tc>
              <w:tc>
                <w:tcPr>
                  <w:tcW w:w="1780" w:type="dxa"/>
                  <w:tcBorders>
                    <w:top w:val="single" w:color="auto" w:sz="4" w:space="0"/>
                    <w:left w:val="nil"/>
                    <w:bottom w:val="single" w:color="auto" w:sz="4" w:space="0"/>
                    <w:right w:val="single" w:color="auto" w:sz="4" w:space="0"/>
                  </w:tcBorders>
                  <w:vAlign w:val="center"/>
                </w:tcPr>
                <w:p w14:paraId="2F459190">
                  <w:pPr>
                    <w:keepNext w:val="0"/>
                    <w:keepLines w:val="0"/>
                    <w:suppressLineNumbers w:val="0"/>
                    <w:autoSpaceDE w:val="0"/>
                    <w:autoSpaceDN w:val="0"/>
                    <w:adjustRightInd w:val="0"/>
                    <w:spacing w:before="0" w:beforeAutospacing="0" w:after="0" w:afterAutospacing="0" w:line="340" w:lineRule="exact"/>
                    <w:ind w:left="0" w:right="0"/>
                    <w:jc w:val="center"/>
                    <w:rPr>
                      <w:rFonts w:hint="default"/>
                      <w:bCs/>
                      <w:color w:val="auto"/>
                      <w:sz w:val="18"/>
                      <w:szCs w:val="18"/>
                    </w:rPr>
                  </w:pPr>
                  <w:r>
                    <w:rPr>
                      <w:rFonts w:hint="default"/>
                      <w:color w:val="auto"/>
                      <w:sz w:val="18"/>
                      <w:szCs w:val="18"/>
                    </w:rPr>
                    <w:t>NH</w:t>
                  </w:r>
                  <w:r>
                    <w:rPr>
                      <w:rFonts w:hint="default"/>
                      <w:color w:val="auto"/>
                      <w:sz w:val="18"/>
                      <w:szCs w:val="18"/>
                      <w:vertAlign w:val="subscript"/>
                    </w:rPr>
                    <w:t>3</w:t>
                  </w:r>
                  <w:r>
                    <w:rPr>
                      <w:rFonts w:hint="default" w:ascii="宋体" w:hAnsi="宋体"/>
                      <w:color w:val="auto"/>
                      <w:sz w:val="18"/>
                      <w:szCs w:val="18"/>
                    </w:rPr>
                    <w:t>、</w:t>
                  </w:r>
                  <w:r>
                    <w:rPr>
                      <w:rFonts w:hint="default"/>
                      <w:color w:val="auto"/>
                      <w:sz w:val="18"/>
                      <w:szCs w:val="18"/>
                    </w:rPr>
                    <w:t>H</w:t>
                  </w:r>
                  <w:r>
                    <w:rPr>
                      <w:rFonts w:hint="default"/>
                      <w:color w:val="auto"/>
                      <w:sz w:val="18"/>
                      <w:szCs w:val="18"/>
                      <w:vertAlign w:val="subscript"/>
                    </w:rPr>
                    <w:t>2</w:t>
                  </w:r>
                  <w:r>
                    <w:rPr>
                      <w:rFonts w:hint="default"/>
                      <w:color w:val="auto"/>
                      <w:sz w:val="18"/>
                      <w:szCs w:val="18"/>
                    </w:rPr>
                    <w:t>S</w:t>
                  </w:r>
                  <w:r>
                    <w:rPr>
                      <w:rFonts w:hint="default" w:ascii="宋体" w:hAnsi="宋体"/>
                      <w:color w:val="auto"/>
                      <w:sz w:val="18"/>
                      <w:szCs w:val="18"/>
                    </w:rPr>
                    <w:t>、臭气浓度</w:t>
                  </w:r>
                  <w:r>
                    <w:rPr>
                      <w:rFonts w:hint="eastAsia" w:ascii="宋体" w:hAnsi="宋体"/>
                      <w:color w:val="auto"/>
                      <w:sz w:val="18"/>
                      <w:szCs w:val="18"/>
                    </w:rPr>
                    <w:t>、氯气、甲烷</w:t>
                  </w:r>
                </w:p>
              </w:tc>
              <w:tc>
                <w:tcPr>
                  <w:tcW w:w="1967" w:type="dxa"/>
                  <w:tcBorders>
                    <w:top w:val="single" w:color="auto" w:sz="4" w:space="0"/>
                    <w:left w:val="nil"/>
                    <w:bottom w:val="single" w:color="auto" w:sz="4" w:space="0"/>
                    <w:right w:val="single" w:color="auto" w:sz="4" w:space="0"/>
                  </w:tcBorders>
                  <w:vAlign w:val="center"/>
                </w:tcPr>
                <w:p w14:paraId="481E812C">
                  <w:pPr>
                    <w:keepNext w:val="0"/>
                    <w:keepLines w:val="0"/>
                    <w:suppressLineNumbers w:val="0"/>
                    <w:autoSpaceDE w:val="0"/>
                    <w:autoSpaceDN w:val="0"/>
                    <w:adjustRightInd w:val="0"/>
                    <w:spacing w:before="0" w:beforeAutospacing="0" w:after="0" w:afterAutospacing="0" w:line="340" w:lineRule="exact"/>
                    <w:ind w:left="0" w:right="0"/>
                    <w:jc w:val="center"/>
                    <w:rPr>
                      <w:rFonts w:hint="default"/>
                      <w:bCs/>
                      <w:color w:val="auto"/>
                      <w:sz w:val="18"/>
                      <w:szCs w:val="18"/>
                    </w:rPr>
                  </w:pPr>
                  <w:r>
                    <w:rPr>
                      <w:rFonts w:hint="default"/>
                      <w:bCs/>
                      <w:color w:val="auto"/>
                      <w:sz w:val="18"/>
                      <w:szCs w:val="18"/>
                    </w:rPr>
                    <w:t>1</w:t>
                  </w:r>
                  <w:r>
                    <w:rPr>
                      <w:rFonts w:hint="default" w:ascii="宋体" w:hAnsi="宋体"/>
                      <w:bCs/>
                      <w:color w:val="auto"/>
                      <w:sz w:val="18"/>
                      <w:szCs w:val="18"/>
                    </w:rPr>
                    <w:t>天</w:t>
                  </w:r>
                </w:p>
              </w:tc>
              <w:tc>
                <w:tcPr>
                  <w:tcW w:w="1167" w:type="dxa"/>
                  <w:tcBorders>
                    <w:top w:val="single" w:color="auto" w:sz="4" w:space="0"/>
                    <w:left w:val="nil"/>
                    <w:bottom w:val="single" w:color="auto" w:sz="4" w:space="0"/>
                    <w:right w:val="single" w:color="auto" w:sz="4" w:space="0"/>
                  </w:tcBorders>
                  <w:vAlign w:val="center"/>
                </w:tcPr>
                <w:p w14:paraId="24A166F3">
                  <w:pPr>
                    <w:keepNext w:val="0"/>
                    <w:keepLines w:val="0"/>
                    <w:suppressLineNumbers w:val="0"/>
                    <w:autoSpaceDE w:val="0"/>
                    <w:autoSpaceDN w:val="0"/>
                    <w:adjustRightInd w:val="0"/>
                    <w:spacing w:before="0" w:beforeAutospacing="0" w:after="0" w:afterAutospacing="0" w:line="340" w:lineRule="exact"/>
                    <w:ind w:left="0" w:right="0"/>
                    <w:jc w:val="center"/>
                    <w:rPr>
                      <w:rFonts w:hint="default"/>
                      <w:bCs/>
                      <w:color w:val="auto"/>
                      <w:sz w:val="18"/>
                      <w:szCs w:val="18"/>
                    </w:rPr>
                  </w:pPr>
                  <w:r>
                    <w:rPr>
                      <w:rFonts w:hint="default" w:ascii="宋体" w:hAnsi="宋体"/>
                      <w:bCs/>
                      <w:color w:val="auto"/>
                      <w:sz w:val="18"/>
                      <w:szCs w:val="18"/>
                    </w:rPr>
                    <w:t>每季度</w:t>
                  </w:r>
                  <w:r>
                    <w:rPr>
                      <w:rFonts w:hint="default"/>
                      <w:bCs/>
                      <w:color w:val="auto"/>
                      <w:sz w:val="18"/>
                      <w:szCs w:val="18"/>
                    </w:rPr>
                    <w:t>1</w:t>
                  </w:r>
                  <w:r>
                    <w:rPr>
                      <w:rFonts w:hint="default" w:ascii="宋体" w:hAnsi="宋体"/>
                      <w:bCs/>
                      <w:color w:val="auto"/>
                      <w:sz w:val="18"/>
                      <w:szCs w:val="18"/>
                    </w:rPr>
                    <w:t>次</w:t>
                  </w:r>
                </w:p>
              </w:tc>
            </w:tr>
            <w:tr w14:paraId="6BD9E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1247" w:type="dxa"/>
                  <w:tcBorders>
                    <w:top w:val="single" w:color="auto" w:sz="4" w:space="0"/>
                    <w:left w:val="single" w:color="auto" w:sz="4" w:space="0"/>
                    <w:bottom w:val="single" w:color="auto" w:sz="4" w:space="0"/>
                    <w:right w:val="single" w:color="auto" w:sz="4" w:space="0"/>
                  </w:tcBorders>
                  <w:vAlign w:val="center"/>
                </w:tcPr>
                <w:p w14:paraId="24A86D16">
                  <w:pPr>
                    <w:keepNext w:val="0"/>
                    <w:keepLines w:val="0"/>
                    <w:suppressLineNumbers w:val="0"/>
                    <w:autoSpaceDE w:val="0"/>
                    <w:autoSpaceDN w:val="0"/>
                    <w:adjustRightInd w:val="0"/>
                    <w:spacing w:before="0" w:beforeAutospacing="0" w:after="0" w:afterAutospacing="0" w:line="340" w:lineRule="exact"/>
                    <w:ind w:left="0" w:right="0"/>
                    <w:jc w:val="center"/>
                    <w:rPr>
                      <w:rFonts w:hint="default"/>
                      <w:bCs/>
                      <w:color w:val="auto"/>
                      <w:sz w:val="18"/>
                      <w:szCs w:val="18"/>
                    </w:rPr>
                  </w:pPr>
                  <w:r>
                    <w:rPr>
                      <w:rFonts w:hint="eastAsia"/>
                      <w:bCs/>
                      <w:color w:val="auto"/>
                      <w:sz w:val="18"/>
                      <w:szCs w:val="18"/>
                    </w:rPr>
                    <w:t>有组织废气</w:t>
                  </w:r>
                </w:p>
              </w:tc>
              <w:tc>
                <w:tcPr>
                  <w:tcW w:w="1716" w:type="dxa"/>
                  <w:tcBorders>
                    <w:top w:val="single" w:color="auto" w:sz="4" w:space="0"/>
                    <w:left w:val="nil"/>
                    <w:bottom w:val="single" w:color="auto" w:sz="4" w:space="0"/>
                    <w:right w:val="single" w:color="auto" w:sz="4" w:space="0"/>
                  </w:tcBorders>
                  <w:vAlign w:val="center"/>
                </w:tcPr>
                <w:p w14:paraId="40307C57">
                  <w:pPr>
                    <w:keepNext w:val="0"/>
                    <w:keepLines w:val="0"/>
                    <w:suppressLineNumbers w:val="0"/>
                    <w:autoSpaceDE w:val="0"/>
                    <w:autoSpaceDN w:val="0"/>
                    <w:adjustRightInd w:val="0"/>
                    <w:spacing w:before="0" w:beforeAutospacing="0" w:after="0" w:afterAutospacing="0" w:line="340" w:lineRule="exact"/>
                    <w:ind w:left="0" w:right="0"/>
                    <w:jc w:val="center"/>
                    <w:rPr>
                      <w:rFonts w:hint="eastAsia"/>
                      <w:bCs/>
                      <w:color w:val="auto"/>
                      <w:sz w:val="18"/>
                      <w:szCs w:val="18"/>
                      <w:lang w:val="en-US" w:eastAsia="zh-CN"/>
                    </w:rPr>
                  </w:pPr>
                  <w:r>
                    <w:rPr>
                      <w:rFonts w:hint="eastAsia"/>
                      <w:bCs/>
                      <w:color w:val="auto"/>
                      <w:sz w:val="18"/>
                      <w:szCs w:val="18"/>
                      <w:lang w:val="en-US" w:eastAsia="zh-CN"/>
                    </w:rPr>
                    <w:t>中药煎药废气</w:t>
                  </w:r>
                </w:p>
                <w:p w14:paraId="46E07723">
                  <w:pPr>
                    <w:keepNext w:val="0"/>
                    <w:keepLines w:val="0"/>
                    <w:suppressLineNumbers w:val="0"/>
                    <w:autoSpaceDE w:val="0"/>
                    <w:autoSpaceDN w:val="0"/>
                    <w:adjustRightInd w:val="0"/>
                    <w:spacing w:before="0" w:beforeAutospacing="0" w:after="0" w:afterAutospacing="0" w:line="340" w:lineRule="exact"/>
                    <w:ind w:left="0" w:right="0"/>
                    <w:jc w:val="center"/>
                    <w:rPr>
                      <w:rFonts w:hint="default" w:eastAsia="宋体"/>
                      <w:bCs/>
                      <w:color w:val="auto"/>
                      <w:sz w:val="18"/>
                      <w:szCs w:val="18"/>
                      <w:lang w:val="en-US" w:eastAsia="zh-CN"/>
                    </w:rPr>
                  </w:pPr>
                  <w:r>
                    <w:rPr>
                      <w:rFonts w:hint="eastAsia"/>
                      <w:bCs/>
                      <w:color w:val="auto"/>
                      <w:sz w:val="18"/>
                      <w:szCs w:val="18"/>
                      <w:lang w:val="en-US" w:eastAsia="zh-CN"/>
                    </w:rPr>
                    <w:t>排气筒</w:t>
                  </w:r>
                </w:p>
              </w:tc>
              <w:tc>
                <w:tcPr>
                  <w:tcW w:w="1780" w:type="dxa"/>
                  <w:tcBorders>
                    <w:top w:val="single" w:color="auto" w:sz="4" w:space="0"/>
                    <w:left w:val="nil"/>
                    <w:bottom w:val="single" w:color="auto" w:sz="4" w:space="0"/>
                    <w:right w:val="single" w:color="auto" w:sz="4" w:space="0"/>
                  </w:tcBorders>
                  <w:vAlign w:val="center"/>
                </w:tcPr>
                <w:p w14:paraId="2D6492F1">
                  <w:pPr>
                    <w:keepNext w:val="0"/>
                    <w:keepLines w:val="0"/>
                    <w:suppressLineNumbers w:val="0"/>
                    <w:autoSpaceDE w:val="0"/>
                    <w:autoSpaceDN w:val="0"/>
                    <w:adjustRightInd w:val="0"/>
                    <w:spacing w:before="0" w:beforeAutospacing="0" w:after="0" w:afterAutospacing="0" w:line="340" w:lineRule="exact"/>
                    <w:ind w:left="0" w:right="0"/>
                    <w:jc w:val="center"/>
                    <w:rPr>
                      <w:rFonts w:hint="default" w:eastAsia="宋体"/>
                      <w:color w:val="auto"/>
                      <w:sz w:val="18"/>
                      <w:szCs w:val="18"/>
                      <w:lang w:val="en-US" w:eastAsia="zh-CN"/>
                    </w:rPr>
                  </w:pPr>
                  <w:r>
                    <w:rPr>
                      <w:rFonts w:hint="eastAsia"/>
                      <w:color w:val="auto"/>
                      <w:sz w:val="18"/>
                      <w:szCs w:val="18"/>
                      <w:lang w:val="en-US" w:eastAsia="zh-CN"/>
                    </w:rPr>
                    <w:t>臭气浓度</w:t>
                  </w:r>
                </w:p>
              </w:tc>
              <w:tc>
                <w:tcPr>
                  <w:tcW w:w="1967" w:type="dxa"/>
                  <w:tcBorders>
                    <w:top w:val="single" w:color="auto" w:sz="4" w:space="0"/>
                    <w:left w:val="nil"/>
                    <w:bottom w:val="single" w:color="auto" w:sz="4" w:space="0"/>
                    <w:right w:val="single" w:color="auto" w:sz="4" w:space="0"/>
                  </w:tcBorders>
                  <w:vAlign w:val="center"/>
                </w:tcPr>
                <w:p w14:paraId="55330996">
                  <w:pPr>
                    <w:keepNext w:val="0"/>
                    <w:keepLines w:val="0"/>
                    <w:suppressLineNumbers w:val="0"/>
                    <w:autoSpaceDE w:val="0"/>
                    <w:autoSpaceDN w:val="0"/>
                    <w:adjustRightInd w:val="0"/>
                    <w:spacing w:before="0" w:beforeAutospacing="0" w:after="0" w:afterAutospacing="0" w:line="340" w:lineRule="exact"/>
                    <w:ind w:left="0" w:right="0"/>
                    <w:jc w:val="center"/>
                    <w:rPr>
                      <w:rFonts w:hint="default"/>
                      <w:bCs/>
                      <w:color w:val="auto"/>
                      <w:sz w:val="18"/>
                      <w:szCs w:val="18"/>
                    </w:rPr>
                  </w:pPr>
                  <w:r>
                    <w:rPr>
                      <w:rFonts w:hint="eastAsia"/>
                      <w:bCs/>
                      <w:color w:val="auto"/>
                      <w:sz w:val="18"/>
                      <w:szCs w:val="18"/>
                    </w:rPr>
                    <w:t>1天（</w:t>
                  </w:r>
                  <w:r>
                    <w:rPr>
                      <w:rFonts w:hint="eastAsia"/>
                      <w:bCs/>
                      <w:color w:val="auto"/>
                      <w:sz w:val="18"/>
                      <w:szCs w:val="18"/>
                      <w:lang w:val="en-US" w:eastAsia="zh-CN"/>
                    </w:rPr>
                    <w:t>运行时每2小时采集1次，取最大值</w:t>
                  </w:r>
                  <w:r>
                    <w:rPr>
                      <w:rFonts w:hint="eastAsia"/>
                      <w:bCs/>
                      <w:color w:val="auto"/>
                      <w:sz w:val="18"/>
                      <w:szCs w:val="18"/>
                    </w:rPr>
                    <w:t>）</w:t>
                  </w:r>
                </w:p>
              </w:tc>
              <w:tc>
                <w:tcPr>
                  <w:tcW w:w="1167" w:type="dxa"/>
                  <w:tcBorders>
                    <w:top w:val="single" w:color="auto" w:sz="4" w:space="0"/>
                    <w:left w:val="nil"/>
                    <w:bottom w:val="single" w:color="auto" w:sz="4" w:space="0"/>
                    <w:right w:val="single" w:color="auto" w:sz="4" w:space="0"/>
                  </w:tcBorders>
                  <w:vAlign w:val="center"/>
                </w:tcPr>
                <w:p w14:paraId="0AAB1BC8">
                  <w:pPr>
                    <w:keepNext w:val="0"/>
                    <w:keepLines w:val="0"/>
                    <w:suppressLineNumbers w:val="0"/>
                    <w:autoSpaceDE w:val="0"/>
                    <w:autoSpaceDN w:val="0"/>
                    <w:adjustRightInd w:val="0"/>
                    <w:spacing w:before="0" w:beforeAutospacing="0" w:after="0" w:afterAutospacing="0" w:line="340" w:lineRule="exact"/>
                    <w:ind w:left="0" w:right="0"/>
                    <w:jc w:val="center"/>
                    <w:rPr>
                      <w:rFonts w:hint="default"/>
                      <w:bCs/>
                      <w:color w:val="auto"/>
                      <w:sz w:val="18"/>
                      <w:szCs w:val="18"/>
                    </w:rPr>
                  </w:pPr>
                  <w:r>
                    <w:rPr>
                      <w:rFonts w:hint="eastAsia"/>
                      <w:bCs/>
                      <w:color w:val="auto"/>
                      <w:sz w:val="18"/>
                      <w:szCs w:val="18"/>
                    </w:rPr>
                    <w:t>每年1次</w:t>
                  </w:r>
                </w:p>
              </w:tc>
            </w:tr>
          </w:tbl>
          <w:p w14:paraId="5ABD26D6">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szCs w:val="21"/>
              </w:rPr>
            </w:pPr>
            <w:r>
              <w:rPr>
                <w:rFonts w:hint="eastAsia" w:eastAsia="黑体" w:cs="宋体"/>
                <w:color w:val="auto"/>
                <w:kern w:val="0"/>
                <w:szCs w:val="21"/>
              </w:rPr>
              <w:t>2、废水</w:t>
            </w:r>
          </w:p>
          <w:p w14:paraId="1F4D0C23">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（1）产排污环节及产生量</w:t>
            </w:r>
          </w:p>
          <w:p w14:paraId="5FBE8616">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营运期的医疗废水主要来源于门诊、病房、治疗室、检验室等产生的医疗废水，</w:t>
            </w:r>
            <w:r>
              <w:rPr>
                <w:rFonts w:hint="eastAsia"/>
                <w:color w:val="auto"/>
                <w:szCs w:val="21"/>
                <w:lang w:val="en-US" w:eastAsia="zh-CN"/>
              </w:rPr>
              <w:t>血透中心产生的纯水制备废水和透析医疗废水，</w:t>
            </w:r>
            <w:r>
              <w:rPr>
                <w:rFonts w:hint="eastAsia"/>
                <w:color w:val="auto"/>
                <w:szCs w:val="21"/>
              </w:rPr>
              <w:t>办公区厕所冲洗等环节产生的生活污水。根据工程分析，本项目营运期废水产生量为</w:t>
            </w:r>
            <w:r>
              <w:rPr>
                <w:rFonts w:hint="eastAsia"/>
                <w:color w:val="auto"/>
                <w:szCs w:val="21"/>
                <w:lang w:val="en-US" w:eastAsia="zh-CN"/>
              </w:rPr>
              <w:t>34.94</w:t>
            </w:r>
            <w:r>
              <w:rPr>
                <w:rFonts w:hint="eastAsia"/>
                <w:color w:val="auto"/>
                <w:szCs w:val="21"/>
              </w:rPr>
              <w:t>m</w:t>
            </w:r>
            <w:r>
              <w:rPr>
                <w:rFonts w:hint="eastAsia"/>
                <w:color w:val="auto"/>
                <w:szCs w:val="21"/>
                <w:vertAlign w:val="superscript"/>
              </w:rPr>
              <w:t>3</w:t>
            </w:r>
            <w:r>
              <w:rPr>
                <w:rFonts w:hint="eastAsia"/>
                <w:color w:val="auto"/>
                <w:szCs w:val="21"/>
              </w:rPr>
              <w:t>/d，除</w:t>
            </w:r>
            <w:r>
              <w:rPr>
                <w:rFonts w:hint="eastAsia"/>
                <w:color w:val="auto"/>
                <w:szCs w:val="21"/>
                <w:lang w:val="en-US" w:eastAsia="zh-CN"/>
              </w:rPr>
              <w:t>属于清净下水的纯水制备废水</w:t>
            </w:r>
            <w:r>
              <w:rPr>
                <w:rFonts w:hint="eastAsia"/>
                <w:color w:val="auto"/>
                <w:szCs w:val="21"/>
              </w:rPr>
              <w:t>外</w:t>
            </w:r>
            <w:r>
              <w:rPr>
                <w:rFonts w:hint="eastAsia"/>
                <w:color w:val="auto"/>
                <w:szCs w:val="21"/>
                <w:lang w:eastAsia="zh-CN"/>
              </w:rPr>
              <w:t>（</w:t>
            </w:r>
            <w:r>
              <w:rPr>
                <w:rFonts w:hint="eastAsia"/>
                <w:color w:val="auto"/>
                <w:szCs w:val="21"/>
                <w:lang w:val="en-US" w:eastAsia="zh-CN"/>
              </w:rPr>
              <w:t>4</w:t>
            </w:r>
            <w:r>
              <w:rPr>
                <w:rFonts w:hint="eastAsia"/>
                <w:color w:val="auto"/>
                <w:szCs w:val="21"/>
              </w:rPr>
              <w:t>m</w:t>
            </w:r>
            <w:r>
              <w:rPr>
                <w:rFonts w:hint="eastAsia"/>
                <w:color w:val="auto"/>
                <w:szCs w:val="21"/>
                <w:vertAlign w:val="superscript"/>
              </w:rPr>
              <w:t>3</w:t>
            </w:r>
            <w:r>
              <w:rPr>
                <w:rFonts w:hint="eastAsia"/>
                <w:color w:val="auto"/>
                <w:szCs w:val="21"/>
              </w:rPr>
              <w:t>/d</w:t>
            </w:r>
            <w:r>
              <w:rPr>
                <w:rFonts w:hint="eastAsia"/>
                <w:color w:val="auto"/>
                <w:szCs w:val="21"/>
                <w:lang w:eastAsia="zh-CN"/>
              </w:rPr>
              <w:t>）</w:t>
            </w:r>
            <w:r>
              <w:rPr>
                <w:rFonts w:hint="eastAsia"/>
                <w:color w:val="auto"/>
                <w:szCs w:val="21"/>
              </w:rPr>
              <w:t>，其余主要来自病人和医务人员的生活污水。</w:t>
            </w:r>
          </w:p>
          <w:p w14:paraId="13C2A287">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（2）治理措施及排放情况</w:t>
            </w:r>
          </w:p>
          <w:p w14:paraId="3DFD71FC">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eastAsia="宋体"/>
                <w:color w:val="auto"/>
                <w:szCs w:val="21"/>
                <w:lang w:val="en-US" w:eastAsia="zh-CN"/>
              </w:rPr>
            </w:pPr>
            <w:r>
              <w:rPr>
                <w:rFonts w:hint="eastAsia"/>
                <w:color w:val="auto"/>
                <w:szCs w:val="21"/>
              </w:rPr>
              <w:t>根据《医疗机构水污染物排放标准》（GB18466-2005）中第4.1.2条“县级及县级以上或20张床位及以上的综合医疗机构和其他医疗机构污水排放执行表2的规定。直接或间接排入地表水体和海域的污水执行排放标准，排入终端已建有正常运行城镇二级污水处理厂的下水道的污水，执行预处理标准。”</w:t>
            </w:r>
            <w:r>
              <w:rPr>
                <w:rFonts w:hint="eastAsia"/>
                <w:color w:val="auto"/>
                <w:szCs w:val="21"/>
                <w:lang w:val="en-US" w:eastAsia="zh-CN"/>
              </w:rPr>
              <w:t>本项目通过自建污水处理站，</w:t>
            </w:r>
            <w:r>
              <w:rPr>
                <w:rFonts w:hint="eastAsia"/>
                <w:color w:val="auto"/>
                <w:szCs w:val="21"/>
              </w:rPr>
              <w:t>对院区收集的医疗废水和生活污水进行预处理，确保达到《医疗机构水污染物排放标准》（GB18466-2005）中表2的预处理标准</w:t>
            </w:r>
            <w:r>
              <w:rPr>
                <w:rFonts w:hint="eastAsia"/>
                <w:color w:val="auto"/>
                <w:szCs w:val="21"/>
                <w:lang w:eastAsia="zh-CN"/>
              </w:rPr>
              <w:t>，</w:t>
            </w:r>
            <w:r>
              <w:rPr>
                <w:rFonts w:hint="eastAsia"/>
                <w:color w:val="auto"/>
                <w:szCs w:val="21"/>
                <w:lang w:val="en-US" w:eastAsia="zh-CN"/>
              </w:rPr>
              <w:t>然后再经自建管网排入场镇污水管网，最终进入罗江镇场镇生活污水处理厂。</w:t>
            </w:r>
          </w:p>
          <w:p w14:paraId="46E10CB9">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olor w:val="auto"/>
                <w:szCs w:val="21"/>
              </w:rPr>
            </w:pPr>
            <w:r>
              <w:rPr>
                <w:rFonts w:hint="eastAsia"/>
                <w:color w:val="auto"/>
                <w:szCs w:val="21"/>
              </w:rPr>
              <w:t>根据《医院污水处理技术指南》和《医院污水处理工程技术规范》(HJ2029-2013)工艺选择原则，建设单位已委托专业机构对项目污水处理设施进行设计</w:t>
            </w:r>
            <w:r>
              <w:rPr>
                <w:rFonts w:hint="eastAsia"/>
                <w:color w:val="auto"/>
                <w:szCs w:val="21"/>
                <w:lang w:val="en-US" w:eastAsia="zh-CN"/>
              </w:rPr>
              <w:t>施工</w:t>
            </w:r>
            <w:r>
              <w:rPr>
                <w:rFonts w:hint="eastAsia"/>
                <w:color w:val="auto"/>
                <w:szCs w:val="21"/>
              </w:rPr>
              <w:t>，</w:t>
            </w:r>
            <w:r>
              <w:rPr>
                <w:rFonts w:hint="default"/>
                <w:color w:val="auto"/>
                <w:szCs w:val="21"/>
              </w:rPr>
              <w:t>采用</w:t>
            </w:r>
            <w:r>
              <w:rPr>
                <w:rFonts w:hint="eastAsia"/>
                <w:b/>
                <w:color w:val="auto"/>
                <w:szCs w:val="21"/>
              </w:rPr>
              <w:t>“</w:t>
            </w:r>
            <w:r>
              <w:rPr>
                <w:rFonts w:hint="eastAsia"/>
                <w:b/>
                <w:color w:val="auto"/>
                <w:szCs w:val="21"/>
                <w:lang w:val="en-US" w:eastAsia="zh-CN"/>
              </w:rPr>
              <w:t>化粪池+</w:t>
            </w:r>
            <w:r>
              <w:rPr>
                <w:rFonts w:hint="eastAsia"/>
                <w:b/>
                <w:color w:val="auto"/>
                <w:szCs w:val="21"/>
              </w:rPr>
              <w:t>格栅+调节池+水解酸化+生物接触氧化+沉淀+消毒”</w:t>
            </w:r>
            <w:r>
              <w:rPr>
                <w:rFonts w:hint="default"/>
                <w:color w:val="auto"/>
                <w:szCs w:val="21"/>
              </w:rPr>
              <w:t>处理工艺，采用氯片消毒，设计处理</w:t>
            </w:r>
            <w:r>
              <w:rPr>
                <w:rFonts w:hint="eastAsia"/>
                <w:color w:val="auto"/>
                <w:szCs w:val="21"/>
                <w:lang w:val="en-US" w:eastAsia="zh-CN"/>
              </w:rPr>
              <w:t>规模1.5m</w:t>
            </w:r>
            <w:r>
              <w:rPr>
                <w:rFonts w:hint="eastAsia"/>
                <w:color w:val="auto"/>
                <w:szCs w:val="21"/>
                <w:vertAlign w:val="superscript"/>
                <w:lang w:val="en-US" w:eastAsia="zh-CN"/>
              </w:rPr>
              <w:t>3</w:t>
            </w:r>
            <w:r>
              <w:rPr>
                <w:rFonts w:hint="eastAsia"/>
                <w:color w:val="auto"/>
                <w:szCs w:val="21"/>
                <w:lang w:val="en-US" w:eastAsia="zh-CN"/>
              </w:rPr>
              <w:t>/h</w:t>
            </w:r>
            <w:r>
              <w:rPr>
                <w:rFonts w:hint="eastAsia"/>
                <w:color w:val="auto"/>
                <w:szCs w:val="21"/>
              </w:rPr>
              <w:t>（考虑约10%的设计裕量），</w:t>
            </w:r>
            <w:r>
              <w:rPr>
                <w:rFonts w:hint="eastAsia"/>
                <w:color w:val="auto"/>
                <w:szCs w:val="21"/>
                <w:lang w:val="en-US" w:eastAsia="zh-CN"/>
              </w:rPr>
              <w:t>医疗废水经处理后能够</w:t>
            </w:r>
            <w:r>
              <w:rPr>
                <w:rFonts w:hint="eastAsia"/>
                <w:color w:val="auto"/>
                <w:szCs w:val="21"/>
              </w:rPr>
              <w:t>达到《医疗机构水污染物排放标准》（GB18466-2005）中表2的预处理标准。</w:t>
            </w:r>
          </w:p>
          <w:p w14:paraId="5889BE1A">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lang w:val="en-US" w:eastAsia="zh-CN"/>
              </w:rPr>
            </w:pPr>
            <w:r>
              <w:rPr>
                <w:rFonts w:hint="eastAsia"/>
                <w:color w:val="auto"/>
                <w:szCs w:val="21"/>
              </w:rPr>
              <w:t>另外，各检验科室内废水进行单独的酸碱中和等预处理后再排入污水处理设施处理。</w:t>
            </w:r>
            <w:r>
              <w:rPr>
                <w:rFonts w:hint="eastAsia"/>
                <w:color w:val="auto"/>
                <w:szCs w:val="21"/>
                <w:lang w:val="en-US" w:eastAsia="zh-CN"/>
              </w:rPr>
              <w:t>血透中心阳性治疗区的废水单独收集至预消毒池（容积2m</w:t>
            </w:r>
            <w:r>
              <w:rPr>
                <w:rFonts w:hint="eastAsia"/>
                <w:color w:val="auto"/>
                <w:szCs w:val="21"/>
                <w:vertAlign w:val="superscript"/>
                <w:lang w:val="en-US" w:eastAsia="zh-CN"/>
              </w:rPr>
              <w:t>3</w:t>
            </w:r>
            <w:r>
              <w:rPr>
                <w:rFonts w:hint="eastAsia"/>
                <w:color w:val="auto"/>
                <w:szCs w:val="21"/>
                <w:lang w:val="en-US" w:eastAsia="zh-CN"/>
              </w:rPr>
              <w:t>），先投加氯片预消毒后，再进入污水站一同处理。纯水制备过程产生的浓水属于清净下水，直接进入雨水管网排放。</w:t>
            </w:r>
          </w:p>
          <w:p w14:paraId="769914CE">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废水处理站排口安装余氯在线监测设施。</w:t>
            </w:r>
          </w:p>
          <w:p w14:paraId="17D29EE4">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eastAsia" w:eastAsia="黑体"/>
                <w:color w:val="auto"/>
                <w:sz w:val="18"/>
                <w:szCs w:val="18"/>
              </w:rPr>
              <w:t>表4-5    废水污染源源强核算结果及相关参数一览表</w:t>
            </w:r>
          </w:p>
          <w:tbl>
            <w:tblPr>
              <w:tblStyle w:val="13"/>
              <w:tblW w:w="79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4"/>
              <w:gridCol w:w="340"/>
              <w:gridCol w:w="410"/>
              <w:gridCol w:w="567"/>
              <w:gridCol w:w="449"/>
              <w:gridCol w:w="553"/>
              <w:gridCol w:w="756"/>
              <w:gridCol w:w="625"/>
              <w:gridCol w:w="566"/>
              <w:gridCol w:w="424"/>
              <w:gridCol w:w="424"/>
              <w:gridCol w:w="566"/>
              <w:gridCol w:w="708"/>
              <w:gridCol w:w="567"/>
              <w:gridCol w:w="537"/>
            </w:tblGrid>
            <w:tr w14:paraId="629A5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 w:hRule="atLeast"/>
                <w:jc w:val="center"/>
              </w:trPr>
              <w:tc>
                <w:tcPr>
                  <w:tcW w:w="424" w:type="dxa"/>
                  <w:vMerge w:val="restart"/>
                  <w:vAlign w:val="center"/>
                </w:tcPr>
                <w:p w14:paraId="634E4A9F">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工序</w:t>
                  </w:r>
                  <w:r>
                    <w:rPr>
                      <w:rFonts w:hint="default" w:ascii="Times New Roman" w:hAnsi="Times New Roman"/>
                      <w:color w:val="auto"/>
                      <w:sz w:val="15"/>
                      <w:szCs w:val="15"/>
                    </w:rPr>
                    <w:t xml:space="preserve">/ </w:t>
                  </w:r>
                  <w:r>
                    <w:rPr>
                      <w:rFonts w:hint="eastAsia" w:ascii="Times New Roman" w:hAnsi="Times New Roman"/>
                      <w:color w:val="auto"/>
                      <w:sz w:val="15"/>
                      <w:szCs w:val="15"/>
                    </w:rPr>
                    <w:t>生产线</w:t>
                  </w:r>
                </w:p>
              </w:tc>
              <w:tc>
                <w:tcPr>
                  <w:tcW w:w="340" w:type="dxa"/>
                  <w:vMerge w:val="restart"/>
                  <w:vAlign w:val="center"/>
                </w:tcPr>
                <w:p w14:paraId="61624A4D">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装置</w:t>
                  </w:r>
                </w:p>
              </w:tc>
              <w:tc>
                <w:tcPr>
                  <w:tcW w:w="410" w:type="dxa"/>
                  <w:vMerge w:val="restart"/>
                  <w:vAlign w:val="center"/>
                </w:tcPr>
                <w:p w14:paraId="50483AEB">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污染 源</w:t>
                  </w:r>
                </w:p>
              </w:tc>
              <w:tc>
                <w:tcPr>
                  <w:tcW w:w="567" w:type="dxa"/>
                  <w:vMerge w:val="restart"/>
                  <w:vAlign w:val="center"/>
                </w:tcPr>
                <w:p w14:paraId="12645F5F">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污染物</w:t>
                  </w:r>
                </w:p>
              </w:tc>
              <w:tc>
                <w:tcPr>
                  <w:tcW w:w="2383" w:type="dxa"/>
                  <w:gridSpan w:val="4"/>
                  <w:vAlign w:val="center"/>
                </w:tcPr>
                <w:p w14:paraId="0E75CA4C">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污染物产生</w:t>
                  </w:r>
                </w:p>
              </w:tc>
              <w:tc>
                <w:tcPr>
                  <w:tcW w:w="990" w:type="dxa"/>
                  <w:gridSpan w:val="2"/>
                  <w:vAlign w:val="center"/>
                </w:tcPr>
                <w:p w14:paraId="02EA61EF">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治理措施</w:t>
                  </w:r>
                </w:p>
              </w:tc>
              <w:tc>
                <w:tcPr>
                  <w:tcW w:w="2265" w:type="dxa"/>
                  <w:gridSpan w:val="4"/>
                  <w:vAlign w:val="center"/>
                </w:tcPr>
                <w:p w14:paraId="027C0966">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污染物排放</w:t>
                  </w:r>
                </w:p>
              </w:tc>
              <w:tc>
                <w:tcPr>
                  <w:tcW w:w="537" w:type="dxa"/>
                  <w:vMerge w:val="restart"/>
                  <w:vAlign w:val="center"/>
                </w:tcPr>
                <w:p w14:paraId="0767CC50">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排放</w:t>
                  </w:r>
                </w:p>
                <w:p w14:paraId="2E09085B">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时间</w:t>
                  </w:r>
                </w:p>
                <w:p w14:paraId="733BD679">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w:t>
                  </w:r>
                  <w:r>
                    <w:rPr>
                      <w:rFonts w:hint="default" w:ascii="Times New Roman" w:hAnsi="Times New Roman"/>
                      <w:color w:val="auto"/>
                      <w:sz w:val="15"/>
                      <w:szCs w:val="15"/>
                    </w:rPr>
                    <w:t>d/a</w:t>
                  </w:r>
                  <w:r>
                    <w:rPr>
                      <w:rFonts w:hint="eastAsia" w:ascii="Times New Roman" w:hAnsi="Times New Roman"/>
                      <w:color w:val="auto"/>
                      <w:sz w:val="15"/>
                      <w:szCs w:val="15"/>
                    </w:rPr>
                    <w:t>）</w:t>
                  </w:r>
                </w:p>
              </w:tc>
            </w:tr>
            <w:tr w14:paraId="24A94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424" w:type="dxa"/>
                  <w:vMerge w:val="continue"/>
                  <w:vAlign w:val="center"/>
                </w:tcPr>
                <w:p w14:paraId="4BD5CE07">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c>
                <w:tcPr>
                  <w:tcW w:w="340" w:type="dxa"/>
                  <w:vMerge w:val="continue"/>
                  <w:vAlign w:val="center"/>
                </w:tcPr>
                <w:p w14:paraId="12EF834E">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c>
                <w:tcPr>
                  <w:tcW w:w="410" w:type="dxa"/>
                  <w:vMerge w:val="continue"/>
                  <w:vAlign w:val="center"/>
                </w:tcPr>
                <w:p w14:paraId="1F5E9F5D">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c>
                <w:tcPr>
                  <w:tcW w:w="567" w:type="dxa"/>
                  <w:vMerge w:val="continue"/>
                  <w:vAlign w:val="center"/>
                </w:tcPr>
                <w:p w14:paraId="33386EF8">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c>
                <w:tcPr>
                  <w:tcW w:w="449" w:type="dxa"/>
                  <w:vAlign w:val="center"/>
                </w:tcPr>
                <w:p w14:paraId="5A55D8A4">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核算方法</w:t>
                  </w:r>
                </w:p>
              </w:tc>
              <w:tc>
                <w:tcPr>
                  <w:tcW w:w="553" w:type="dxa"/>
                  <w:vAlign w:val="center"/>
                </w:tcPr>
                <w:p w14:paraId="3281EFFF">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废水</w:t>
                  </w:r>
                </w:p>
                <w:p w14:paraId="3154B8E3">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产生量</w:t>
                  </w:r>
                  <w:r>
                    <w:rPr>
                      <w:rFonts w:hint="default" w:ascii="Times New Roman" w:hAnsi="Times New Roman" w:eastAsia="Calibri"/>
                      <w:color w:val="auto"/>
                      <w:spacing w:val="-1"/>
                      <w:sz w:val="15"/>
                      <w:szCs w:val="15"/>
                    </w:rPr>
                    <w:t xml:space="preserve"> (m</w:t>
                  </w:r>
                  <w:r>
                    <w:rPr>
                      <w:rFonts w:hint="eastAsia" w:ascii="Times New Roman" w:hAnsi="Times New Roman" w:eastAsiaTheme="minorEastAsia"/>
                      <w:color w:val="auto"/>
                      <w:spacing w:val="-1"/>
                      <w:sz w:val="15"/>
                      <w:szCs w:val="15"/>
                      <w:vertAlign w:val="superscript"/>
                    </w:rPr>
                    <w:t>3</w:t>
                  </w:r>
                  <w:r>
                    <w:rPr>
                      <w:rFonts w:hint="default" w:ascii="Times New Roman" w:hAnsi="Times New Roman" w:eastAsia="Calibri"/>
                      <w:color w:val="auto"/>
                      <w:spacing w:val="-1"/>
                      <w:sz w:val="15"/>
                      <w:szCs w:val="15"/>
                    </w:rPr>
                    <w:t>/a)</w:t>
                  </w:r>
                </w:p>
              </w:tc>
              <w:tc>
                <w:tcPr>
                  <w:tcW w:w="756" w:type="dxa"/>
                  <w:vAlign w:val="center"/>
                </w:tcPr>
                <w:p w14:paraId="3648F421">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产生</w:t>
                  </w:r>
                </w:p>
                <w:p w14:paraId="43795DA9">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浓度</w:t>
                  </w:r>
                  <w:r>
                    <w:rPr>
                      <w:rFonts w:hint="eastAsia" w:ascii="Times New Roman" w:hAnsi="Times New Roman"/>
                      <w:color w:val="auto"/>
                      <w:spacing w:val="-1"/>
                      <w:sz w:val="15"/>
                      <w:szCs w:val="15"/>
                    </w:rPr>
                    <w:t>（</w:t>
                  </w:r>
                  <w:r>
                    <w:rPr>
                      <w:rFonts w:hint="default" w:ascii="Times New Roman" w:hAnsi="Times New Roman"/>
                      <w:color w:val="auto"/>
                      <w:spacing w:val="-1"/>
                      <w:sz w:val="15"/>
                      <w:szCs w:val="15"/>
                    </w:rPr>
                    <w:t>mg/L</w:t>
                  </w:r>
                  <w:r>
                    <w:rPr>
                      <w:rFonts w:hint="eastAsia" w:ascii="Times New Roman" w:hAnsi="Times New Roman"/>
                      <w:color w:val="auto"/>
                      <w:spacing w:val="-1"/>
                      <w:sz w:val="15"/>
                      <w:szCs w:val="15"/>
                    </w:rPr>
                    <w:t>）</w:t>
                  </w:r>
                </w:p>
              </w:tc>
              <w:tc>
                <w:tcPr>
                  <w:tcW w:w="625" w:type="dxa"/>
                  <w:vAlign w:val="center"/>
                </w:tcPr>
                <w:p w14:paraId="05F3F18C">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产生量</w:t>
                  </w:r>
                </w:p>
                <w:p w14:paraId="1B76805F">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pacing w:val="-1"/>
                      <w:sz w:val="15"/>
                      <w:szCs w:val="15"/>
                    </w:rPr>
                    <w:t>（</w:t>
                  </w:r>
                  <w:r>
                    <w:rPr>
                      <w:rFonts w:hint="default" w:ascii="Times New Roman" w:hAnsi="Times New Roman"/>
                      <w:color w:val="auto"/>
                      <w:spacing w:val="-1"/>
                      <w:sz w:val="15"/>
                      <w:szCs w:val="15"/>
                    </w:rPr>
                    <w:t>t/a</w:t>
                  </w:r>
                  <w:r>
                    <w:rPr>
                      <w:rFonts w:hint="eastAsia" w:ascii="Times New Roman" w:hAnsi="Times New Roman"/>
                      <w:color w:val="auto"/>
                      <w:spacing w:val="-1"/>
                      <w:sz w:val="15"/>
                      <w:szCs w:val="15"/>
                    </w:rPr>
                    <w:t>）</w:t>
                  </w:r>
                </w:p>
              </w:tc>
              <w:tc>
                <w:tcPr>
                  <w:tcW w:w="566" w:type="dxa"/>
                  <w:vAlign w:val="center"/>
                </w:tcPr>
                <w:p w14:paraId="759CC0AC">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工艺</w:t>
                  </w:r>
                </w:p>
              </w:tc>
              <w:tc>
                <w:tcPr>
                  <w:tcW w:w="424" w:type="dxa"/>
                  <w:vAlign w:val="center"/>
                </w:tcPr>
                <w:p w14:paraId="00DBC50A">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效率</w:t>
                  </w:r>
                </w:p>
                <w:p w14:paraId="6DFDBC98">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default" w:ascii="Times New Roman" w:hAnsi="Times New Roman" w:eastAsia="Calibri"/>
                      <w:color w:val="auto"/>
                      <w:sz w:val="15"/>
                      <w:szCs w:val="15"/>
                    </w:rPr>
                    <w:t>/%</w:t>
                  </w:r>
                </w:p>
              </w:tc>
              <w:tc>
                <w:tcPr>
                  <w:tcW w:w="424" w:type="dxa"/>
                  <w:vAlign w:val="center"/>
                </w:tcPr>
                <w:p w14:paraId="77E49CD9">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核算</w:t>
                  </w:r>
                </w:p>
                <w:p w14:paraId="3B86E245">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方法</w:t>
                  </w:r>
                </w:p>
              </w:tc>
              <w:tc>
                <w:tcPr>
                  <w:tcW w:w="566" w:type="dxa"/>
                  <w:vAlign w:val="center"/>
                </w:tcPr>
                <w:p w14:paraId="2463AF26">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废水</w:t>
                  </w:r>
                </w:p>
                <w:p w14:paraId="404983A2">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排放量</w:t>
                  </w:r>
                </w:p>
                <w:p w14:paraId="7936494A">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default" w:ascii="Times New Roman" w:hAnsi="Times New Roman" w:eastAsia="Calibri"/>
                      <w:color w:val="auto"/>
                      <w:spacing w:val="-1"/>
                      <w:sz w:val="15"/>
                      <w:szCs w:val="15"/>
                    </w:rPr>
                    <w:t>(m</w:t>
                  </w:r>
                  <w:r>
                    <w:rPr>
                      <w:rFonts w:hint="eastAsia" w:ascii="Times New Roman" w:hAnsi="Times New Roman" w:eastAsiaTheme="minorEastAsia"/>
                      <w:color w:val="auto"/>
                      <w:spacing w:val="-1"/>
                      <w:sz w:val="15"/>
                      <w:szCs w:val="15"/>
                      <w:vertAlign w:val="superscript"/>
                    </w:rPr>
                    <w:t>3</w:t>
                  </w:r>
                  <w:r>
                    <w:rPr>
                      <w:rFonts w:hint="default" w:ascii="Times New Roman" w:hAnsi="Times New Roman" w:eastAsia="Calibri"/>
                      <w:color w:val="auto"/>
                      <w:spacing w:val="-1"/>
                      <w:sz w:val="15"/>
                      <w:szCs w:val="15"/>
                    </w:rPr>
                    <w:t>/a)</w:t>
                  </w:r>
                </w:p>
              </w:tc>
              <w:tc>
                <w:tcPr>
                  <w:tcW w:w="708" w:type="dxa"/>
                  <w:vAlign w:val="center"/>
                </w:tcPr>
                <w:p w14:paraId="3BD46731">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排放浓度</w:t>
                  </w:r>
                </w:p>
                <w:p w14:paraId="11C66A24">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pacing w:val="-1"/>
                      <w:sz w:val="15"/>
                      <w:szCs w:val="15"/>
                    </w:rPr>
                    <w:t>（</w:t>
                  </w:r>
                  <w:r>
                    <w:rPr>
                      <w:rFonts w:hint="default" w:ascii="Times New Roman" w:hAnsi="Times New Roman"/>
                      <w:color w:val="auto"/>
                      <w:spacing w:val="-1"/>
                      <w:sz w:val="15"/>
                      <w:szCs w:val="15"/>
                    </w:rPr>
                    <w:t>mg/L</w:t>
                  </w:r>
                  <w:r>
                    <w:rPr>
                      <w:rFonts w:hint="eastAsia" w:ascii="Times New Roman" w:hAnsi="Times New Roman"/>
                      <w:color w:val="auto"/>
                      <w:spacing w:val="-1"/>
                      <w:sz w:val="15"/>
                      <w:szCs w:val="15"/>
                    </w:rPr>
                    <w:t>）</w:t>
                  </w:r>
                </w:p>
              </w:tc>
              <w:tc>
                <w:tcPr>
                  <w:tcW w:w="567" w:type="dxa"/>
                  <w:vAlign w:val="center"/>
                </w:tcPr>
                <w:p w14:paraId="15F2D347">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排放量</w:t>
                  </w:r>
                </w:p>
                <w:p w14:paraId="26DC6F84">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5"/>
                      <w:szCs w:val="15"/>
                    </w:rPr>
                  </w:pPr>
                  <w:r>
                    <w:rPr>
                      <w:rFonts w:hint="eastAsia" w:ascii="Times New Roman" w:hAnsi="Times New Roman"/>
                      <w:color w:val="auto"/>
                      <w:spacing w:val="-1"/>
                      <w:sz w:val="15"/>
                      <w:szCs w:val="15"/>
                    </w:rPr>
                    <w:t>（</w:t>
                  </w:r>
                  <w:r>
                    <w:rPr>
                      <w:rFonts w:hint="default" w:ascii="Times New Roman" w:hAnsi="Times New Roman"/>
                      <w:color w:val="auto"/>
                      <w:spacing w:val="-1"/>
                      <w:sz w:val="15"/>
                      <w:szCs w:val="15"/>
                    </w:rPr>
                    <w:t>t/a</w:t>
                  </w:r>
                  <w:r>
                    <w:rPr>
                      <w:rFonts w:hint="eastAsia" w:ascii="Times New Roman" w:hAnsi="Times New Roman"/>
                      <w:color w:val="auto"/>
                      <w:spacing w:val="-1"/>
                      <w:sz w:val="15"/>
                      <w:szCs w:val="15"/>
                    </w:rPr>
                    <w:t>）</w:t>
                  </w:r>
                </w:p>
              </w:tc>
              <w:tc>
                <w:tcPr>
                  <w:tcW w:w="537" w:type="dxa"/>
                  <w:vMerge w:val="continue"/>
                  <w:vAlign w:val="center"/>
                </w:tcPr>
                <w:p w14:paraId="14115A9F">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r>
            <w:tr w14:paraId="59ACA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 w:hRule="atLeast"/>
                <w:jc w:val="center"/>
              </w:trPr>
              <w:tc>
                <w:tcPr>
                  <w:tcW w:w="424" w:type="dxa"/>
                  <w:vMerge w:val="restart"/>
                  <w:vAlign w:val="center"/>
                </w:tcPr>
                <w:p w14:paraId="1BDE08A0">
                  <w:pPr>
                    <w:pStyle w:val="39"/>
                    <w:keepNext w:val="0"/>
                    <w:keepLines w:val="0"/>
                    <w:suppressLineNumbers w:val="0"/>
                    <w:spacing w:before="0" w:beforeAutospacing="0" w:after="0" w:afterAutospacing="0" w:line="280" w:lineRule="exact"/>
                    <w:ind w:left="0" w:right="0"/>
                    <w:jc w:val="center"/>
                    <w:rPr>
                      <w:rFonts w:hint="eastAsia" w:ascii="Times New Roman" w:hAnsi="Times New Roman" w:eastAsia="宋体"/>
                      <w:color w:val="auto"/>
                      <w:sz w:val="15"/>
                      <w:szCs w:val="15"/>
                      <w:lang w:eastAsia="zh-CN"/>
                    </w:rPr>
                  </w:pPr>
                  <w:r>
                    <w:rPr>
                      <w:rFonts w:hint="eastAsia" w:ascii="Times New Roman" w:hAnsi="Times New Roman"/>
                      <w:color w:val="auto"/>
                      <w:sz w:val="15"/>
                      <w:szCs w:val="15"/>
                      <w:lang w:val="en-US" w:eastAsia="zh-CN"/>
                    </w:rPr>
                    <w:t>项目区</w:t>
                  </w:r>
                </w:p>
              </w:tc>
              <w:tc>
                <w:tcPr>
                  <w:tcW w:w="340" w:type="dxa"/>
                  <w:vMerge w:val="restart"/>
                  <w:vAlign w:val="center"/>
                </w:tcPr>
                <w:p w14:paraId="1D850EB3">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r>
                    <w:rPr>
                      <w:rFonts w:hint="eastAsia" w:ascii="Times New Roman" w:hAnsi="Times New Roman" w:eastAsiaTheme="minorEastAsia"/>
                      <w:color w:val="auto"/>
                      <w:sz w:val="15"/>
                      <w:szCs w:val="15"/>
                    </w:rPr>
                    <w:t>/</w:t>
                  </w:r>
                </w:p>
              </w:tc>
              <w:tc>
                <w:tcPr>
                  <w:tcW w:w="410" w:type="dxa"/>
                  <w:vMerge w:val="restart"/>
                  <w:vAlign w:val="center"/>
                </w:tcPr>
                <w:p w14:paraId="2A50C58D">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color w:val="auto"/>
                      <w:sz w:val="15"/>
                      <w:szCs w:val="15"/>
                    </w:rPr>
                    <w:t>医疗废水</w:t>
                  </w:r>
                </w:p>
              </w:tc>
              <w:tc>
                <w:tcPr>
                  <w:tcW w:w="567" w:type="dxa"/>
                  <w:vAlign w:val="center"/>
                </w:tcPr>
                <w:p w14:paraId="03DD66B9">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eastAsia="Calibri"/>
                      <w:color w:val="auto"/>
                      <w:sz w:val="15"/>
                      <w:szCs w:val="15"/>
                    </w:rPr>
                    <w:t>COD</w:t>
                  </w:r>
                </w:p>
              </w:tc>
              <w:tc>
                <w:tcPr>
                  <w:tcW w:w="449" w:type="dxa"/>
                  <w:vMerge w:val="restart"/>
                  <w:vAlign w:val="center"/>
                </w:tcPr>
                <w:p w14:paraId="0251319C">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系数法</w:t>
                  </w:r>
                </w:p>
              </w:tc>
              <w:tc>
                <w:tcPr>
                  <w:tcW w:w="553" w:type="dxa"/>
                  <w:vMerge w:val="restart"/>
                  <w:vAlign w:val="center"/>
                </w:tcPr>
                <w:p w14:paraId="6A34EA29">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lang w:val="en-US" w:eastAsia="zh-CN"/>
                    </w:rPr>
                  </w:pPr>
                  <w:r>
                    <w:rPr>
                      <w:rFonts w:hint="eastAsia" w:ascii="Times New Roman" w:hAnsi="Times New Roman" w:eastAsiaTheme="minorEastAsia"/>
                      <w:color w:val="auto"/>
                      <w:sz w:val="15"/>
                      <w:szCs w:val="15"/>
                      <w:lang w:val="en-US" w:eastAsia="zh-CN"/>
                    </w:rPr>
                    <w:t>11293.1</w:t>
                  </w:r>
                </w:p>
              </w:tc>
              <w:tc>
                <w:tcPr>
                  <w:tcW w:w="756" w:type="dxa"/>
                  <w:vAlign w:val="center"/>
                </w:tcPr>
                <w:p w14:paraId="7FBF4069">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300</w:t>
                  </w:r>
                </w:p>
              </w:tc>
              <w:tc>
                <w:tcPr>
                  <w:tcW w:w="625" w:type="dxa"/>
                  <w:vAlign w:val="center"/>
                </w:tcPr>
                <w:p w14:paraId="740F7045">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lang w:val="en-US" w:eastAsia="zh-CN"/>
                    </w:rPr>
                    <w:t xml:space="preserve">3.388 </w:t>
                  </w:r>
                </w:p>
              </w:tc>
              <w:tc>
                <w:tcPr>
                  <w:tcW w:w="566" w:type="dxa"/>
                  <w:vMerge w:val="restart"/>
                  <w:vAlign w:val="center"/>
                </w:tcPr>
                <w:p w14:paraId="382AB46E">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color w:val="auto"/>
                      <w:sz w:val="15"/>
                      <w:szCs w:val="15"/>
                    </w:rPr>
                    <w:t>“化粪池+格栅+调节池+水解酸化+生物接触氧化+沉淀+消毒”</w:t>
                  </w:r>
                </w:p>
              </w:tc>
              <w:tc>
                <w:tcPr>
                  <w:tcW w:w="424" w:type="dxa"/>
                  <w:vAlign w:val="center"/>
                </w:tcPr>
                <w:p w14:paraId="4507174E">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r>
                    <w:rPr>
                      <w:rFonts w:hint="eastAsia" w:ascii="Times New Roman" w:hAnsi="Times New Roman" w:eastAsiaTheme="minorEastAsia"/>
                      <w:color w:val="auto"/>
                      <w:sz w:val="15"/>
                      <w:szCs w:val="15"/>
                    </w:rPr>
                    <w:t>16.67</w:t>
                  </w:r>
                </w:p>
              </w:tc>
              <w:tc>
                <w:tcPr>
                  <w:tcW w:w="424" w:type="dxa"/>
                  <w:vMerge w:val="restart"/>
                  <w:vAlign w:val="center"/>
                </w:tcPr>
                <w:p w14:paraId="6D37782F">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color w:val="auto"/>
                      <w:sz w:val="15"/>
                      <w:szCs w:val="15"/>
                    </w:rPr>
                    <w:t>系数法</w:t>
                  </w:r>
                </w:p>
              </w:tc>
              <w:tc>
                <w:tcPr>
                  <w:tcW w:w="566" w:type="dxa"/>
                  <w:vMerge w:val="restart"/>
                  <w:vAlign w:val="center"/>
                </w:tcPr>
                <w:p w14:paraId="365D8863">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r>
                    <w:rPr>
                      <w:rFonts w:hint="eastAsia" w:ascii="Times New Roman" w:hAnsi="Times New Roman" w:eastAsiaTheme="minorEastAsia"/>
                      <w:color w:val="auto"/>
                      <w:sz w:val="15"/>
                      <w:szCs w:val="15"/>
                      <w:lang w:val="en-US" w:eastAsia="zh-CN"/>
                    </w:rPr>
                    <w:t>11293.1</w:t>
                  </w:r>
                </w:p>
              </w:tc>
              <w:tc>
                <w:tcPr>
                  <w:tcW w:w="708" w:type="dxa"/>
                  <w:vAlign w:val="center"/>
                </w:tcPr>
                <w:p w14:paraId="18614C05">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250</w:t>
                  </w:r>
                </w:p>
              </w:tc>
              <w:tc>
                <w:tcPr>
                  <w:tcW w:w="567" w:type="dxa"/>
                  <w:vAlign w:val="center"/>
                </w:tcPr>
                <w:p w14:paraId="41A012B1">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lang w:val="en-US" w:eastAsia="zh-CN"/>
                    </w:rPr>
                    <w:t xml:space="preserve">2.823 </w:t>
                  </w:r>
                </w:p>
              </w:tc>
              <w:tc>
                <w:tcPr>
                  <w:tcW w:w="537" w:type="dxa"/>
                  <w:vMerge w:val="restart"/>
                  <w:vAlign w:val="center"/>
                </w:tcPr>
                <w:p w14:paraId="13B643DF">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r>
                    <w:rPr>
                      <w:rFonts w:hint="eastAsia" w:ascii="Times New Roman" w:hAnsi="Times New Roman" w:eastAsiaTheme="minorEastAsia"/>
                      <w:color w:val="auto"/>
                      <w:sz w:val="15"/>
                      <w:szCs w:val="15"/>
                    </w:rPr>
                    <w:t>365</w:t>
                  </w:r>
                </w:p>
              </w:tc>
            </w:tr>
            <w:tr w14:paraId="503F4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 w:hRule="atLeast"/>
                <w:jc w:val="center"/>
              </w:trPr>
              <w:tc>
                <w:tcPr>
                  <w:tcW w:w="424" w:type="dxa"/>
                  <w:vMerge w:val="continue"/>
                  <w:vAlign w:val="center"/>
                </w:tcPr>
                <w:p w14:paraId="04E35D48">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340" w:type="dxa"/>
                  <w:vMerge w:val="continue"/>
                  <w:vAlign w:val="center"/>
                </w:tcPr>
                <w:p w14:paraId="78257E65">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c>
                <w:tcPr>
                  <w:tcW w:w="410" w:type="dxa"/>
                  <w:vMerge w:val="continue"/>
                  <w:vAlign w:val="center"/>
                </w:tcPr>
                <w:p w14:paraId="390C66C0">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567" w:type="dxa"/>
                  <w:vAlign w:val="center"/>
                </w:tcPr>
                <w:p w14:paraId="303B1A79">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Calibri"/>
                      <w:color w:val="auto"/>
                      <w:sz w:val="15"/>
                      <w:szCs w:val="15"/>
                    </w:rPr>
                  </w:pPr>
                  <w:r>
                    <w:rPr>
                      <w:rFonts w:hint="default" w:ascii="Times New Roman" w:hAnsi="Times New Roman" w:eastAsia="Calibri"/>
                      <w:color w:val="auto"/>
                      <w:sz w:val="15"/>
                      <w:szCs w:val="15"/>
                    </w:rPr>
                    <w:t>BOD</w:t>
                  </w:r>
                  <w:r>
                    <w:rPr>
                      <w:rFonts w:hint="default" w:ascii="Times New Roman" w:hAnsi="Times New Roman" w:eastAsia="Calibri"/>
                      <w:color w:val="auto"/>
                      <w:sz w:val="15"/>
                      <w:szCs w:val="15"/>
                      <w:vertAlign w:val="subscript"/>
                    </w:rPr>
                    <w:t>5</w:t>
                  </w:r>
                </w:p>
              </w:tc>
              <w:tc>
                <w:tcPr>
                  <w:tcW w:w="449" w:type="dxa"/>
                  <w:vMerge w:val="continue"/>
                  <w:vAlign w:val="center"/>
                </w:tcPr>
                <w:p w14:paraId="5FBEF610">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553" w:type="dxa"/>
                  <w:vMerge w:val="continue"/>
                  <w:vAlign w:val="center"/>
                </w:tcPr>
                <w:p w14:paraId="637775A8">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c>
                <w:tcPr>
                  <w:tcW w:w="756" w:type="dxa"/>
                  <w:vAlign w:val="center"/>
                </w:tcPr>
                <w:p w14:paraId="1D7EE660">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r>
                    <w:rPr>
                      <w:rFonts w:hint="eastAsia" w:ascii="Times New Roman" w:hAnsi="Times New Roman" w:eastAsiaTheme="minorEastAsia"/>
                      <w:color w:val="auto"/>
                      <w:spacing w:val="1"/>
                      <w:sz w:val="15"/>
                      <w:szCs w:val="15"/>
                    </w:rPr>
                    <w:t>150</w:t>
                  </w:r>
                </w:p>
              </w:tc>
              <w:tc>
                <w:tcPr>
                  <w:tcW w:w="625" w:type="dxa"/>
                  <w:vAlign w:val="center"/>
                </w:tcPr>
                <w:p w14:paraId="3427548E">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lang w:val="en-US" w:eastAsia="zh-CN"/>
                    </w:rPr>
                    <w:t xml:space="preserve">1.694 </w:t>
                  </w:r>
                </w:p>
              </w:tc>
              <w:tc>
                <w:tcPr>
                  <w:tcW w:w="566" w:type="dxa"/>
                  <w:vMerge w:val="continue"/>
                  <w:vAlign w:val="center"/>
                </w:tcPr>
                <w:p w14:paraId="653569AD">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424" w:type="dxa"/>
                  <w:vAlign w:val="center"/>
                </w:tcPr>
                <w:p w14:paraId="35269FCE">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r>
                    <w:rPr>
                      <w:rFonts w:hint="eastAsia" w:ascii="Times New Roman" w:hAnsi="Times New Roman" w:eastAsiaTheme="minorEastAsia"/>
                      <w:color w:val="auto"/>
                      <w:sz w:val="15"/>
                      <w:szCs w:val="15"/>
                    </w:rPr>
                    <w:t>33.33</w:t>
                  </w:r>
                </w:p>
              </w:tc>
              <w:tc>
                <w:tcPr>
                  <w:tcW w:w="424" w:type="dxa"/>
                  <w:vMerge w:val="continue"/>
                  <w:vAlign w:val="center"/>
                </w:tcPr>
                <w:p w14:paraId="0EF930C0">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566" w:type="dxa"/>
                  <w:vMerge w:val="continue"/>
                  <w:vAlign w:val="center"/>
                </w:tcPr>
                <w:p w14:paraId="3D0B9716">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c>
                <w:tcPr>
                  <w:tcW w:w="708" w:type="dxa"/>
                  <w:vAlign w:val="center"/>
                </w:tcPr>
                <w:p w14:paraId="5EA47810">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100</w:t>
                  </w:r>
                </w:p>
              </w:tc>
              <w:tc>
                <w:tcPr>
                  <w:tcW w:w="567" w:type="dxa"/>
                  <w:vAlign w:val="center"/>
                </w:tcPr>
                <w:p w14:paraId="36AE101D">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lang w:val="en-US" w:eastAsia="zh-CN"/>
                    </w:rPr>
                    <w:t xml:space="preserve">1.129 </w:t>
                  </w:r>
                </w:p>
              </w:tc>
              <w:tc>
                <w:tcPr>
                  <w:tcW w:w="537" w:type="dxa"/>
                  <w:vMerge w:val="continue"/>
                  <w:vAlign w:val="center"/>
                </w:tcPr>
                <w:p w14:paraId="538CBC50">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r>
            <w:tr w14:paraId="7D98C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 w:hRule="atLeast"/>
                <w:jc w:val="center"/>
              </w:trPr>
              <w:tc>
                <w:tcPr>
                  <w:tcW w:w="424" w:type="dxa"/>
                  <w:vMerge w:val="continue"/>
                  <w:vAlign w:val="center"/>
                </w:tcPr>
                <w:p w14:paraId="50101EE1">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340" w:type="dxa"/>
                  <w:vMerge w:val="continue"/>
                  <w:vAlign w:val="center"/>
                </w:tcPr>
                <w:p w14:paraId="5112C14C">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c>
                <w:tcPr>
                  <w:tcW w:w="410" w:type="dxa"/>
                  <w:vMerge w:val="continue"/>
                  <w:vAlign w:val="center"/>
                </w:tcPr>
                <w:p w14:paraId="4F1A9A91">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567" w:type="dxa"/>
                  <w:vAlign w:val="center"/>
                </w:tcPr>
                <w:p w14:paraId="65249569">
                  <w:pPr>
                    <w:keepNext w:val="0"/>
                    <w:keepLines w:val="0"/>
                    <w:suppressLineNumbers w:val="0"/>
                    <w:spacing w:before="0" w:beforeAutospacing="0" w:after="0" w:afterAutospacing="0" w:line="280" w:lineRule="exact"/>
                    <w:ind w:left="0" w:right="0"/>
                    <w:jc w:val="center"/>
                    <w:rPr>
                      <w:rFonts w:hint="default"/>
                      <w:color w:val="auto"/>
                      <w:sz w:val="15"/>
                      <w:szCs w:val="15"/>
                    </w:rPr>
                  </w:pPr>
                  <w:r>
                    <w:rPr>
                      <w:rFonts w:hint="eastAsia"/>
                      <w:color w:val="auto"/>
                      <w:sz w:val="15"/>
                      <w:szCs w:val="15"/>
                    </w:rPr>
                    <w:t>SS</w:t>
                  </w:r>
                </w:p>
              </w:tc>
              <w:tc>
                <w:tcPr>
                  <w:tcW w:w="449" w:type="dxa"/>
                  <w:vMerge w:val="continue"/>
                  <w:vAlign w:val="center"/>
                </w:tcPr>
                <w:p w14:paraId="47E4D8AA">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553" w:type="dxa"/>
                  <w:vMerge w:val="continue"/>
                  <w:vAlign w:val="center"/>
                </w:tcPr>
                <w:p w14:paraId="0CA58CF5">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c>
                <w:tcPr>
                  <w:tcW w:w="756" w:type="dxa"/>
                  <w:vAlign w:val="center"/>
                </w:tcPr>
                <w:p w14:paraId="1C401BD6">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r>
                    <w:rPr>
                      <w:rFonts w:hint="eastAsia" w:ascii="Times New Roman" w:hAnsi="Times New Roman" w:eastAsiaTheme="minorEastAsia"/>
                      <w:color w:val="auto"/>
                      <w:spacing w:val="1"/>
                      <w:sz w:val="15"/>
                      <w:szCs w:val="15"/>
                    </w:rPr>
                    <w:t>120</w:t>
                  </w:r>
                </w:p>
              </w:tc>
              <w:tc>
                <w:tcPr>
                  <w:tcW w:w="625" w:type="dxa"/>
                  <w:vAlign w:val="center"/>
                </w:tcPr>
                <w:p w14:paraId="7F75FFA9">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lang w:val="en-US" w:eastAsia="zh-CN"/>
                    </w:rPr>
                    <w:t xml:space="preserve">1.355 </w:t>
                  </w:r>
                </w:p>
              </w:tc>
              <w:tc>
                <w:tcPr>
                  <w:tcW w:w="566" w:type="dxa"/>
                  <w:vMerge w:val="continue"/>
                  <w:vAlign w:val="center"/>
                </w:tcPr>
                <w:p w14:paraId="1E8D9E47">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424" w:type="dxa"/>
                  <w:vAlign w:val="center"/>
                </w:tcPr>
                <w:p w14:paraId="3C58977D">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r>
                    <w:rPr>
                      <w:rFonts w:hint="eastAsia" w:ascii="Times New Roman" w:hAnsi="Times New Roman" w:eastAsiaTheme="minorEastAsia"/>
                      <w:color w:val="auto"/>
                      <w:sz w:val="15"/>
                      <w:szCs w:val="15"/>
                    </w:rPr>
                    <w:t>50</w:t>
                  </w:r>
                </w:p>
              </w:tc>
              <w:tc>
                <w:tcPr>
                  <w:tcW w:w="424" w:type="dxa"/>
                  <w:vMerge w:val="continue"/>
                  <w:vAlign w:val="center"/>
                </w:tcPr>
                <w:p w14:paraId="51A4DA6A">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566" w:type="dxa"/>
                  <w:vMerge w:val="continue"/>
                  <w:vAlign w:val="center"/>
                </w:tcPr>
                <w:p w14:paraId="05167414">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c>
                <w:tcPr>
                  <w:tcW w:w="708" w:type="dxa"/>
                  <w:vAlign w:val="center"/>
                </w:tcPr>
                <w:p w14:paraId="027B7E20">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60</w:t>
                  </w:r>
                </w:p>
              </w:tc>
              <w:tc>
                <w:tcPr>
                  <w:tcW w:w="567" w:type="dxa"/>
                  <w:vAlign w:val="center"/>
                </w:tcPr>
                <w:p w14:paraId="6C50EA44">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lang w:val="en-US" w:eastAsia="zh-CN"/>
                    </w:rPr>
                    <w:t xml:space="preserve">0.678 </w:t>
                  </w:r>
                </w:p>
              </w:tc>
              <w:tc>
                <w:tcPr>
                  <w:tcW w:w="537" w:type="dxa"/>
                  <w:vMerge w:val="continue"/>
                  <w:vAlign w:val="center"/>
                </w:tcPr>
                <w:p w14:paraId="00E188E3">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r>
            <w:tr w14:paraId="6D865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 w:hRule="atLeast"/>
                <w:jc w:val="center"/>
              </w:trPr>
              <w:tc>
                <w:tcPr>
                  <w:tcW w:w="424" w:type="dxa"/>
                  <w:vMerge w:val="continue"/>
                  <w:vAlign w:val="center"/>
                </w:tcPr>
                <w:p w14:paraId="57D94522">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340" w:type="dxa"/>
                  <w:vMerge w:val="continue"/>
                  <w:vAlign w:val="center"/>
                </w:tcPr>
                <w:p w14:paraId="3CEB11AE">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c>
                <w:tcPr>
                  <w:tcW w:w="410" w:type="dxa"/>
                  <w:vMerge w:val="continue"/>
                  <w:vAlign w:val="center"/>
                </w:tcPr>
                <w:p w14:paraId="07706D42">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567" w:type="dxa"/>
                  <w:vAlign w:val="center"/>
                </w:tcPr>
                <w:p w14:paraId="47593D60">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Calibri"/>
                      <w:color w:val="auto"/>
                      <w:sz w:val="15"/>
                      <w:szCs w:val="15"/>
                    </w:rPr>
                  </w:pPr>
                  <w:r>
                    <w:rPr>
                      <w:rFonts w:hint="eastAsia" w:ascii="Times New Roman" w:hAnsi="Times New Roman"/>
                      <w:color w:val="auto"/>
                      <w:sz w:val="15"/>
                      <w:szCs w:val="15"/>
                    </w:rPr>
                    <w:t>氨氮</w:t>
                  </w:r>
                </w:p>
              </w:tc>
              <w:tc>
                <w:tcPr>
                  <w:tcW w:w="449" w:type="dxa"/>
                  <w:vMerge w:val="continue"/>
                  <w:vAlign w:val="center"/>
                </w:tcPr>
                <w:p w14:paraId="1B560E58">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553" w:type="dxa"/>
                  <w:vMerge w:val="continue"/>
                  <w:vAlign w:val="center"/>
                </w:tcPr>
                <w:p w14:paraId="6A16C58D">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c>
                <w:tcPr>
                  <w:tcW w:w="756" w:type="dxa"/>
                  <w:vAlign w:val="center"/>
                </w:tcPr>
                <w:p w14:paraId="69154944">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r>
                    <w:rPr>
                      <w:rFonts w:hint="eastAsia" w:ascii="Times New Roman" w:hAnsi="Times New Roman" w:eastAsiaTheme="minorEastAsia"/>
                      <w:color w:val="auto"/>
                      <w:spacing w:val="1"/>
                      <w:sz w:val="15"/>
                      <w:szCs w:val="15"/>
                    </w:rPr>
                    <w:t>50</w:t>
                  </w:r>
                </w:p>
              </w:tc>
              <w:tc>
                <w:tcPr>
                  <w:tcW w:w="625" w:type="dxa"/>
                  <w:vAlign w:val="center"/>
                </w:tcPr>
                <w:p w14:paraId="2FF02E66">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lang w:val="en-US" w:eastAsia="zh-CN"/>
                    </w:rPr>
                    <w:t xml:space="preserve">0.565 </w:t>
                  </w:r>
                </w:p>
              </w:tc>
              <w:tc>
                <w:tcPr>
                  <w:tcW w:w="566" w:type="dxa"/>
                  <w:vMerge w:val="continue"/>
                  <w:vAlign w:val="center"/>
                </w:tcPr>
                <w:p w14:paraId="4A72F1B1">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424" w:type="dxa"/>
                  <w:vAlign w:val="center"/>
                </w:tcPr>
                <w:p w14:paraId="5BCE9528">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r>
                    <w:rPr>
                      <w:rFonts w:hint="eastAsia" w:ascii="Times New Roman" w:hAnsi="Times New Roman" w:eastAsiaTheme="minorEastAsia"/>
                      <w:color w:val="auto"/>
                      <w:sz w:val="15"/>
                      <w:szCs w:val="15"/>
                    </w:rPr>
                    <w:t>40</w:t>
                  </w:r>
                </w:p>
              </w:tc>
              <w:tc>
                <w:tcPr>
                  <w:tcW w:w="424" w:type="dxa"/>
                  <w:vMerge w:val="continue"/>
                  <w:vAlign w:val="center"/>
                </w:tcPr>
                <w:p w14:paraId="3F390554">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566" w:type="dxa"/>
                  <w:vMerge w:val="continue"/>
                  <w:vAlign w:val="center"/>
                </w:tcPr>
                <w:p w14:paraId="081A3082">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c>
                <w:tcPr>
                  <w:tcW w:w="708" w:type="dxa"/>
                  <w:vAlign w:val="center"/>
                </w:tcPr>
                <w:p w14:paraId="46F01408">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30</w:t>
                  </w:r>
                </w:p>
              </w:tc>
              <w:tc>
                <w:tcPr>
                  <w:tcW w:w="567" w:type="dxa"/>
                  <w:vAlign w:val="center"/>
                </w:tcPr>
                <w:p w14:paraId="10CC410E">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lang w:val="en-US" w:eastAsia="zh-CN"/>
                    </w:rPr>
                    <w:t xml:space="preserve">0.339 </w:t>
                  </w:r>
                </w:p>
              </w:tc>
              <w:tc>
                <w:tcPr>
                  <w:tcW w:w="537" w:type="dxa"/>
                  <w:vMerge w:val="continue"/>
                  <w:vAlign w:val="center"/>
                </w:tcPr>
                <w:p w14:paraId="72C166CA">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r>
            <w:tr w14:paraId="21198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424" w:type="dxa"/>
                  <w:vMerge w:val="continue"/>
                  <w:vAlign w:val="center"/>
                </w:tcPr>
                <w:p w14:paraId="7DCB3A66">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340" w:type="dxa"/>
                  <w:vMerge w:val="continue"/>
                  <w:vAlign w:val="center"/>
                </w:tcPr>
                <w:p w14:paraId="43F6816E">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c>
                <w:tcPr>
                  <w:tcW w:w="410" w:type="dxa"/>
                  <w:vMerge w:val="continue"/>
                  <w:vAlign w:val="center"/>
                </w:tcPr>
                <w:p w14:paraId="64ADF196">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567" w:type="dxa"/>
                  <w:vAlign w:val="center"/>
                </w:tcPr>
                <w:p w14:paraId="067F5A68">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Calibri"/>
                      <w:color w:val="auto"/>
                      <w:sz w:val="15"/>
                      <w:szCs w:val="15"/>
                    </w:rPr>
                  </w:pPr>
                  <w:r>
                    <w:rPr>
                      <w:rFonts w:hint="eastAsia" w:ascii="Times New Roman" w:hAnsi="Times New Roman" w:cs="宋体"/>
                      <w:color w:val="auto"/>
                      <w:sz w:val="15"/>
                      <w:szCs w:val="15"/>
                    </w:rPr>
                    <w:t>粪大肠菌群</w:t>
                  </w:r>
                </w:p>
              </w:tc>
              <w:tc>
                <w:tcPr>
                  <w:tcW w:w="449" w:type="dxa"/>
                  <w:vMerge w:val="continue"/>
                  <w:vAlign w:val="center"/>
                </w:tcPr>
                <w:p w14:paraId="1A951D46">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p>
              </w:tc>
              <w:tc>
                <w:tcPr>
                  <w:tcW w:w="553" w:type="dxa"/>
                  <w:vMerge w:val="continue"/>
                  <w:vAlign w:val="center"/>
                </w:tcPr>
                <w:p w14:paraId="43B9D438">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c>
                <w:tcPr>
                  <w:tcW w:w="756" w:type="dxa"/>
                  <w:vAlign w:val="center"/>
                </w:tcPr>
                <w:p w14:paraId="40062DA8">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r>
                    <w:rPr>
                      <w:rFonts w:hint="default" w:ascii="Times New Roman" w:hAnsi="Times New Roman" w:eastAsiaTheme="minorEastAsia"/>
                      <w:color w:val="auto"/>
                      <w:spacing w:val="1"/>
                      <w:sz w:val="15"/>
                      <w:szCs w:val="15"/>
                    </w:rPr>
                    <w:t>9</w:t>
                  </w:r>
                  <w:r>
                    <w:rPr>
                      <w:rFonts w:hint="eastAsia" w:ascii="Times New Roman" w:hAnsi="Times New Roman" w:eastAsiaTheme="minorEastAsia"/>
                      <w:color w:val="auto"/>
                      <w:spacing w:val="1"/>
                      <w:sz w:val="15"/>
                      <w:szCs w:val="15"/>
                      <w:lang w:val="en-US" w:eastAsia="zh-CN"/>
                    </w:rPr>
                    <w:t>0000</w:t>
                  </w:r>
                  <w:r>
                    <w:rPr>
                      <w:rFonts w:hint="eastAsia" w:ascii="Times New Roman" w:hAnsi="Times New Roman" w:eastAsiaTheme="minorEastAsia"/>
                      <w:color w:val="auto"/>
                      <w:spacing w:val="1"/>
                      <w:sz w:val="15"/>
                      <w:szCs w:val="15"/>
                    </w:rPr>
                    <w:t>个</w:t>
                  </w:r>
                  <w:r>
                    <w:rPr>
                      <w:rFonts w:hint="default" w:ascii="Times New Roman" w:hAnsi="Times New Roman" w:eastAsiaTheme="minorEastAsia"/>
                      <w:color w:val="auto"/>
                      <w:spacing w:val="1"/>
                      <w:sz w:val="15"/>
                      <w:szCs w:val="15"/>
                    </w:rPr>
                    <w:t>/L</w:t>
                  </w:r>
                </w:p>
              </w:tc>
              <w:tc>
                <w:tcPr>
                  <w:tcW w:w="625" w:type="dxa"/>
                  <w:vAlign w:val="center"/>
                </w:tcPr>
                <w:p w14:paraId="5F00F28F">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r>
                    <w:rPr>
                      <w:rFonts w:hint="eastAsia" w:ascii="Times New Roman" w:hAnsi="Times New Roman" w:eastAsiaTheme="minorEastAsia"/>
                      <w:color w:val="auto"/>
                      <w:spacing w:val="1"/>
                      <w:sz w:val="15"/>
                      <w:szCs w:val="15"/>
                      <w:lang w:val="en-US" w:eastAsia="zh-CN"/>
                    </w:rPr>
                    <w:t>1.016</w:t>
                  </w:r>
                  <w:r>
                    <w:rPr>
                      <w:rFonts w:hint="default" w:ascii="Times New Roman" w:hAnsi="Times New Roman" w:eastAsiaTheme="minorEastAsia"/>
                      <w:color w:val="auto"/>
                      <w:spacing w:val="1"/>
                      <w:sz w:val="15"/>
                      <w:szCs w:val="15"/>
                    </w:rPr>
                    <w:t>×</w:t>
                  </w:r>
                </w:p>
                <w:p w14:paraId="1B8F7854">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r>
                    <w:rPr>
                      <w:rFonts w:hint="default" w:ascii="Times New Roman" w:hAnsi="Times New Roman" w:eastAsiaTheme="minorEastAsia"/>
                      <w:color w:val="auto"/>
                      <w:spacing w:val="1"/>
                      <w:sz w:val="15"/>
                      <w:szCs w:val="15"/>
                    </w:rPr>
                    <w:t>10</w:t>
                  </w:r>
                  <w:r>
                    <w:rPr>
                      <w:rFonts w:hint="eastAsia" w:ascii="Times New Roman" w:hAnsi="Times New Roman" w:eastAsiaTheme="minorEastAsia"/>
                      <w:color w:val="auto"/>
                      <w:spacing w:val="1"/>
                      <w:sz w:val="15"/>
                      <w:szCs w:val="15"/>
                      <w:vertAlign w:val="superscript"/>
                      <w:lang w:val="en-US" w:eastAsia="zh-CN"/>
                    </w:rPr>
                    <w:t>12</w:t>
                  </w:r>
                  <w:r>
                    <w:rPr>
                      <w:rFonts w:hint="eastAsia" w:ascii="Times New Roman" w:hAnsi="Times New Roman" w:eastAsiaTheme="minorEastAsia"/>
                      <w:color w:val="auto"/>
                      <w:spacing w:val="1"/>
                      <w:sz w:val="15"/>
                      <w:szCs w:val="15"/>
                    </w:rPr>
                    <w:t>个</w:t>
                  </w:r>
                  <w:r>
                    <w:rPr>
                      <w:rFonts w:hint="default" w:ascii="Times New Roman" w:hAnsi="Times New Roman" w:eastAsiaTheme="minorEastAsia"/>
                      <w:color w:val="auto"/>
                      <w:spacing w:val="1"/>
                      <w:sz w:val="15"/>
                      <w:szCs w:val="15"/>
                    </w:rPr>
                    <w:t>/a</w:t>
                  </w:r>
                </w:p>
              </w:tc>
              <w:tc>
                <w:tcPr>
                  <w:tcW w:w="566" w:type="dxa"/>
                  <w:vMerge w:val="continue"/>
                  <w:vAlign w:val="center"/>
                </w:tcPr>
                <w:p w14:paraId="779ED8E4">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p>
              </w:tc>
              <w:tc>
                <w:tcPr>
                  <w:tcW w:w="424" w:type="dxa"/>
                  <w:vAlign w:val="center"/>
                </w:tcPr>
                <w:p w14:paraId="67CF4DAE">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r>
                    <w:rPr>
                      <w:rFonts w:hint="eastAsia" w:ascii="Times New Roman" w:hAnsi="Times New Roman" w:eastAsiaTheme="minorEastAsia"/>
                      <w:color w:val="auto"/>
                      <w:spacing w:val="1"/>
                      <w:sz w:val="15"/>
                      <w:szCs w:val="15"/>
                    </w:rPr>
                    <w:t>99</w:t>
                  </w:r>
                </w:p>
              </w:tc>
              <w:tc>
                <w:tcPr>
                  <w:tcW w:w="424" w:type="dxa"/>
                  <w:vMerge w:val="continue"/>
                  <w:vAlign w:val="center"/>
                </w:tcPr>
                <w:p w14:paraId="69DADCFA">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p>
              </w:tc>
              <w:tc>
                <w:tcPr>
                  <w:tcW w:w="566" w:type="dxa"/>
                  <w:vMerge w:val="continue"/>
                  <w:vAlign w:val="center"/>
                </w:tcPr>
                <w:p w14:paraId="55C57BA0">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p>
              </w:tc>
              <w:tc>
                <w:tcPr>
                  <w:tcW w:w="708" w:type="dxa"/>
                  <w:vAlign w:val="center"/>
                </w:tcPr>
                <w:p w14:paraId="03B33AF5">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r>
                    <w:rPr>
                      <w:rFonts w:hint="eastAsia" w:ascii="Times New Roman" w:hAnsi="Times New Roman" w:eastAsiaTheme="minorEastAsia"/>
                      <w:color w:val="auto"/>
                      <w:spacing w:val="1"/>
                      <w:sz w:val="15"/>
                      <w:szCs w:val="15"/>
                    </w:rPr>
                    <w:t>900个/L</w:t>
                  </w:r>
                </w:p>
              </w:tc>
              <w:tc>
                <w:tcPr>
                  <w:tcW w:w="567" w:type="dxa"/>
                  <w:vAlign w:val="center"/>
                </w:tcPr>
                <w:p w14:paraId="739A728C">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r>
                    <w:rPr>
                      <w:rFonts w:hint="eastAsia" w:ascii="Times New Roman" w:hAnsi="Times New Roman" w:eastAsiaTheme="minorEastAsia"/>
                      <w:color w:val="auto"/>
                      <w:spacing w:val="1"/>
                      <w:sz w:val="15"/>
                      <w:szCs w:val="15"/>
                      <w:lang w:val="en-US" w:eastAsia="zh-CN"/>
                    </w:rPr>
                    <w:t>1.016</w:t>
                  </w:r>
                  <w:r>
                    <w:rPr>
                      <w:rFonts w:hint="default" w:ascii="Times New Roman" w:hAnsi="Times New Roman" w:eastAsiaTheme="minorEastAsia"/>
                      <w:color w:val="auto"/>
                      <w:spacing w:val="1"/>
                      <w:sz w:val="15"/>
                      <w:szCs w:val="15"/>
                    </w:rPr>
                    <w:t>×</w:t>
                  </w:r>
                </w:p>
                <w:p w14:paraId="393AF8B8">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pacing w:val="1"/>
                      <w:sz w:val="15"/>
                      <w:szCs w:val="15"/>
                    </w:rPr>
                  </w:pPr>
                  <w:r>
                    <w:rPr>
                      <w:rFonts w:hint="default" w:ascii="Times New Roman" w:hAnsi="Times New Roman" w:eastAsiaTheme="minorEastAsia"/>
                      <w:color w:val="auto"/>
                      <w:spacing w:val="1"/>
                      <w:sz w:val="15"/>
                      <w:szCs w:val="15"/>
                    </w:rPr>
                    <w:t>10</w:t>
                  </w:r>
                  <w:r>
                    <w:rPr>
                      <w:rFonts w:hint="eastAsia" w:ascii="Times New Roman" w:hAnsi="Times New Roman" w:eastAsiaTheme="minorEastAsia"/>
                      <w:color w:val="auto"/>
                      <w:spacing w:val="1"/>
                      <w:sz w:val="15"/>
                      <w:szCs w:val="15"/>
                      <w:vertAlign w:val="superscript"/>
                      <w:lang w:val="en-US" w:eastAsia="zh-CN"/>
                    </w:rPr>
                    <w:t>9</w:t>
                  </w:r>
                  <w:r>
                    <w:rPr>
                      <w:rFonts w:hint="eastAsia" w:ascii="Times New Roman" w:hAnsi="Times New Roman" w:eastAsiaTheme="minorEastAsia"/>
                      <w:color w:val="auto"/>
                      <w:spacing w:val="1"/>
                      <w:sz w:val="15"/>
                      <w:szCs w:val="15"/>
                    </w:rPr>
                    <w:t>个</w:t>
                  </w:r>
                  <w:r>
                    <w:rPr>
                      <w:rFonts w:hint="default" w:ascii="Times New Roman" w:hAnsi="Times New Roman" w:eastAsiaTheme="minorEastAsia"/>
                      <w:color w:val="auto"/>
                      <w:spacing w:val="1"/>
                      <w:sz w:val="15"/>
                      <w:szCs w:val="15"/>
                    </w:rPr>
                    <w:t>/a</w:t>
                  </w:r>
                </w:p>
              </w:tc>
              <w:tc>
                <w:tcPr>
                  <w:tcW w:w="537" w:type="dxa"/>
                  <w:vMerge w:val="continue"/>
                  <w:vAlign w:val="center"/>
                </w:tcPr>
                <w:p w14:paraId="5AAC2D9E">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p>
              </w:tc>
            </w:tr>
          </w:tbl>
          <w:p w14:paraId="55429885">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 xml:space="preserve">4-6 </w:t>
            </w:r>
            <w:r>
              <w:rPr>
                <w:rFonts w:hint="default" w:eastAsia="黑体"/>
                <w:color w:val="auto"/>
                <w:sz w:val="18"/>
                <w:szCs w:val="18"/>
              </w:rPr>
              <w:t xml:space="preserve">  </w:t>
            </w:r>
            <w:r>
              <w:rPr>
                <w:rFonts w:hint="default" w:eastAsia="黑体"/>
                <w:color w:val="auto"/>
                <w:sz w:val="18"/>
                <w:szCs w:val="18"/>
              </w:rPr>
              <w:tab/>
            </w:r>
            <w:r>
              <w:rPr>
                <w:rFonts w:hint="eastAsia" w:eastAsia="黑体"/>
                <w:color w:val="auto"/>
                <w:sz w:val="18"/>
                <w:szCs w:val="18"/>
              </w:rPr>
              <w:t>废水类别、污染物及污染治理设施信息表</w:t>
            </w:r>
          </w:p>
          <w:tbl>
            <w:tblPr>
              <w:tblStyle w:val="1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0"/>
              <w:gridCol w:w="571"/>
              <w:gridCol w:w="856"/>
              <w:gridCol w:w="870"/>
              <w:gridCol w:w="526"/>
              <w:gridCol w:w="651"/>
              <w:gridCol w:w="516"/>
              <w:gridCol w:w="1432"/>
              <w:gridCol w:w="555"/>
              <w:gridCol w:w="983"/>
              <w:gridCol w:w="499"/>
            </w:tblGrid>
            <w:tr w14:paraId="1FA4E8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 w:hRule="atLeast"/>
                <w:jc w:val="center"/>
              </w:trPr>
              <w:tc>
                <w:tcPr>
                  <w:tcW w:w="380" w:type="dxa"/>
                  <w:vMerge w:val="restart"/>
                  <w:vAlign w:val="center"/>
                </w:tcPr>
                <w:p w14:paraId="4447E14C">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序 号</w:t>
                  </w:r>
                </w:p>
              </w:tc>
              <w:tc>
                <w:tcPr>
                  <w:tcW w:w="571" w:type="dxa"/>
                  <w:vMerge w:val="restart"/>
                  <w:vAlign w:val="center"/>
                </w:tcPr>
                <w:p w14:paraId="2FB5DA88">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废水</w:t>
                  </w:r>
                </w:p>
                <w:p w14:paraId="617ABEDF">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类别</w:t>
                  </w:r>
                </w:p>
              </w:tc>
              <w:tc>
                <w:tcPr>
                  <w:tcW w:w="856" w:type="dxa"/>
                  <w:vMerge w:val="restart"/>
                  <w:vAlign w:val="center"/>
                </w:tcPr>
                <w:p w14:paraId="701DB0A0">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污染物 种类</w:t>
                  </w:r>
                </w:p>
              </w:tc>
              <w:tc>
                <w:tcPr>
                  <w:tcW w:w="870" w:type="dxa"/>
                  <w:vMerge w:val="restart"/>
                  <w:vAlign w:val="center"/>
                </w:tcPr>
                <w:p w14:paraId="4818EFB8">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排放去向</w:t>
                  </w:r>
                </w:p>
              </w:tc>
              <w:tc>
                <w:tcPr>
                  <w:tcW w:w="526" w:type="dxa"/>
                  <w:vMerge w:val="restart"/>
                  <w:vAlign w:val="center"/>
                </w:tcPr>
                <w:p w14:paraId="3F4EAE7A">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排放 规律</w:t>
                  </w:r>
                </w:p>
              </w:tc>
              <w:tc>
                <w:tcPr>
                  <w:tcW w:w="2599" w:type="dxa"/>
                  <w:gridSpan w:val="3"/>
                  <w:vAlign w:val="center"/>
                </w:tcPr>
                <w:p w14:paraId="007E148B">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污染治理设施</w:t>
                  </w:r>
                </w:p>
              </w:tc>
              <w:tc>
                <w:tcPr>
                  <w:tcW w:w="555" w:type="dxa"/>
                  <w:vMerge w:val="restart"/>
                  <w:vAlign w:val="center"/>
                </w:tcPr>
                <w:p w14:paraId="5040B309">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排放口编号</w:t>
                  </w:r>
                </w:p>
              </w:tc>
              <w:tc>
                <w:tcPr>
                  <w:tcW w:w="983" w:type="dxa"/>
                  <w:vMerge w:val="restart"/>
                  <w:vAlign w:val="center"/>
                </w:tcPr>
                <w:p w14:paraId="3F68C8D9">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排放口设置</w:t>
                  </w:r>
                </w:p>
                <w:p w14:paraId="4ABDC4AD">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是否符合要求</w:t>
                  </w:r>
                </w:p>
              </w:tc>
              <w:tc>
                <w:tcPr>
                  <w:tcW w:w="499" w:type="dxa"/>
                  <w:vMerge w:val="restart"/>
                  <w:vAlign w:val="center"/>
                </w:tcPr>
                <w:p w14:paraId="6C27A7A9">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排放口</w:t>
                  </w:r>
                </w:p>
                <w:p w14:paraId="2B40C1D9">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类型</w:t>
                  </w:r>
                </w:p>
              </w:tc>
            </w:tr>
            <w:tr w14:paraId="73CA9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1" w:hRule="atLeast"/>
                <w:jc w:val="center"/>
              </w:trPr>
              <w:tc>
                <w:tcPr>
                  <w:tcW w:w="380" w:type="dxa"/>
                  <w:vMerge w:val="continue"/>
                  <w:vAlign w:val="center"/>
                </w:tcPr>
                <w:p w14:paraId="45CFBFDD">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c>
                <w:tcPr>
                  <w:tcW w:w="571" w:type="dxa"/>
                  <w:vMerge w:val="continue"/>
                  <w:vAlign w:val="center"/>
                </w:tcPr>
                <w:p w14:paraId="7604432B">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c>
                <w:tcPr>
                  <w:tcW w:w="856" w:type="dxa"/>
                  <w:vMerge w:val="continue"/>
                  <w:vAlign w:val="center"/>
                </w:tcPr>
                <w:p w14:paraId="6DEEFF04">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c>
                <w:tcPr>
                  <w:tcW w:w="870" w:type="dxa"/>
                  <w:vMerge w:val="continue"/>
                  <w:vAlign w:val="center"/>
                </w:tcPr>
                <w:p w14:paraId="6880373D">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c>
                <w:tcPr>
                  <w:tcW w:w="526" w:type="dxa"/>
                  <w:vMerge w:val="continue"/>
                  <w:vAlign w:val="center"/>
                </w:tcPr>
                <w:p w14:paraId="06E1D991">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c>
                <w:tcPr>
                  <w:tcW w:w="651" w:type="dxa"/>
                  <w:vAlign w:val="center"/>
                </w:tcPr>
                <w:p w14:paraId="266C4447">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编号</w:t>
                  </w:r>
                </w:p>
              </w:tc>
              <w:tc>
                <w:tcPr>
                  <w:tcW w:w="516" w:type="dxa"/>
                  <w:vAlign w:val="center"/>
                </w:tcPr>
                <w:p w14:paraId="4EC70D6A">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名称</w:t>
                  </w:r>
                </w:p>
              </w:tc>
              <w:tc>
                <w:tcPr>
                  <w:tcW w:w="1432" w:type="dxa"/>
                  <w:vAlign w:val="center"/>
                </w:tcPr>
                <w:p w14:paraId="0DAB3B49">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工艺</w:t>
                  </w:r>
                </w:p>
              </w:tc>
              <w:tc>
                <w:tcPr>
                  <w:tcW w:w="555" w:type="dxa"/>
                  <w:vMerge w:val="continue"/>
                  <w:vAlign w:val="center"/>
                </w:tcPr>
                <w:p w14:paraId="47EECA36">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c>
                <w:tcPr>
                  <w:tcW w:w="983" w:type="dxa"/>
                  <w:vMerge w:val="continue"/>
                  <w:vAlign w:val="center"/>
                </w:tcPr>
                <w:p w14:paraId="0EB7744A">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c>
                <w:tcPr>
                  <w:tcW w:w="499" w:type="dxa"/>
                  <w:vMerge w:val="continue"/>
                  <w:vAlign w:val="center"/>
                </w:tcPr>
                <w:p w14:paraId="0E524832">
                  <w:pPr>
                    <w:keepNext w:val="0"/>
                    <w:keepLines w:val="0"/>
                    <w:widowControl/>
                    <w:suppressLineNumbers w:val="0"/>
                    <w:spacing w:before="0" w:beforeAutospacing="0" w:after="0" w:afterAutospacing="0" w:line="280" w:lineRule="exact"/>
                    <w:ind w:left="0" w:right="0"/>
                    <w:jc w:val="center"/>
                    <w:rPr>
                      <w:rFonts w:hint="default"/>
                      <w:color w:val="auto"/>
                      <w:sz w:val="15"/>
                      <w:szCs w:val="15"/>
                    </w:rPr>
                  </w:pPr>
                </w:p>
              </w:tc>
            </w:tr>
            <w:tr w14:paraId="253B7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 w:hRule="atLeast"/>
                <w:jc w:val="center"/>
              </w:trPr>
              <w:tc>
                <w:tcPr>
                  <w:tcW w:w="380" w:type="dxa"/>
                  <w:vAlign w:val="center"/>
                </w:tcPr>
                <w:p w14:paraId="0FB1A8D4">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eastAsia="Calibri"/>
                      <w:color w:val="auto"/>
                      <w:sz w:val="15"/>
                      <w:szCs w:val="15"/>
                    </w:rPr>
                    <w:t>1</w:t>
                  </w:r>
                </w:p>
              </w:tc>
              <w:tc>
                <w:tcPr>
                  <w:tcW w:w="571" w:type="dxa"/>
                  <w:vAlign w:val="center"/>
                </w:tcPr>
                <w:p w14:paraId="60DD819E">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color w:val="auto"/>
                      <w:sz w:val="15"/>
                      <w:szCs w:val="15"/>
                    </w:rPr>
                    <w:t>医疗</w:t>
                  </w:r>
                </w:p>
                <w:p w14:paraId="1232ABEE">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color w:val="auto"/>
                      <w:sz w:val="15"/>
                      <w:szCs w:val="15"/>
                    </w:rPr>
                    <w:t>废水</w:t>
                  </w:r>
                </w:p>
              </w:tc>
              <w:tc>
                <w:tcPr>
                  <w:tcW w:w="856" w:type="dxa"/>
                  <w:vAlign w:val="center"/>
                </w:tcPr>
                <w:p w14:paraId="3319167A">
                  <w:pPr>
                    <w:pStyle w:val="39"/>
                    <w:keepNext w:val="0"/>
                    <w:keepLines w:val="0"/>
                    <w:suppressLineNumbers w:val="0"/>
                    <w:spacing w:before="0" w:beforeAutospacing="0" w:after="0" w:afterAutospacing="0" w:line="280" w:lineRule="exact"/>
                    <w:ind w:left="0" w:right="0"/>
                    <w:jc w:val="center"/>
                    <w:rPr>
                      <w:rFonts w:hint="default" w:ascii="Times New Roman" w:hAnsi="Times New Roman" w:eastAsiaTheme="minorEastAsia"/>
                      <w:color w:val="auto"/>
                      <w:sz w:val="15"/>
                      <w:szCs w:val="15"/>
                    </w:rPr>
                  </w:pPr>
                  <w:r>
                    <w:rPr>
                      <w:rFonts w:hint="default" w:ascii="Times New Roman" w:hAnsi="Times New Roman" w:eastAsia="Calibri"/>
                      <w:color w:val="auto"/>
                      <w:sz w:val="15"/>
                      <w:szCs w:val="15"/>
                    </w:rPr>
                    <w:t>COD</w:t>
                  </w:r>
                  <w:r>
                    <w:rPr>
                      <w:rFonts w:hint="eastAsia" w:ascii="Times New Roman" w:hAnsi="Times New Roman" w:eastAsiaTheme="minorEastAsia"/>
                      <w:color w:val="auto"/>
                      <w:sz w:val="15"/>
                      <w:szCs w:val="15"/>
                    </w:rPr>
                    <w:t>、</w:t>
                  </w:r>
                  <w:r>
                    <w:rPr>
                      <w:rFonts w:hint="default" w:ascii="Times New Roman" w:hAnsi="Times New Roman" w:eastAsia="Calibri"/>
                      <w:color w:val="auto"/>
                      <w:sz w:val="15"/>
                      <w:szCs w:val="15"/>
                    </w:rPr>
                    <w:t>BOD</w:t>
                  </w:r>
                  <w:r>
                    <w:rPr>
                      <w:rFonts w:hint="default" w:ascii="Times New Roman" w:hAnsi="Times New Roman" w:eastAsia="Calibri"/>
                      <w:color w:val="auto"/>
                      <w:sz w:val="15"/>
                      <w:szCs w:val="15"/>
                      <w:vertAlign w:val="subscript"/>
                    </w:rPr>
                    <w:t>5</w:t>
                  </w:r>
                  <w:r>
                    <w:rPr>
                      <w:rFonts w:hint="eastAsia" w:ascii="Times New Roman" w:hAnsi="Times New Roman" w:eastAsiaTheme="minorEastAsia"/>
                      <w:color w:val="auto"/>
                      <w:sz w:val="15"/>
                      <w:szCs w:val="15"/>
                    </w:rPr>
                    <w:t>、</w:t>
                  </w:r>
                  <w:r>
                    <w:rPr>
                      <w:rFonts w:hint="eastAsia" w:ascii="Times New Roman" w:hAnsi="Times New Roman"/>
                      <w:color w:val="auto"/>
                      <w:sz w:val="15"/>
                      <w:szCs w:val="15"/>
                    </w:rPr>
                    <w:t>氨氮</w:t>
                  </w:r>
                  <w:r>
                    <w:rPr>
                      <w:rFonts w:hint="eastAsia" w:ascii="Times New Roman" w:hAnsi="Times New Roman" w:eastAsiaTheme="minorEastAsia"/>
                      <w:color w:val="auto"/>
                      <w:sz w:val="15"/>
                      <w:szCs w:val="15"/>
                    </w:rPr>
                    <w:t>、SS等</w:t>
                  </w:r>
                </w:p>
              </w:tc>
              <w:tc>
                <w:tcPr>
                  <w:tcW w:w="870" w:type="dxa"/>
                  <w:vAlign w:val="center"/>
                </w:tcPr>
                <w:p w14:paraId="59FB9260">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lang w:val="en-US" w:eastAsia="zh-CN"/>
                    </w:rPr>
                    <w:t>罗江镇场镇生活</w:t>
                  </w:r>
                  <w:r>
                    <w:rPr>
                      <w:rFonts w:hint="default" w:ascii="Times New Roman" w:hAnsi="Times New Roman"/>
                      <w:color w:val="auto"/>
                      <w:sz w:val="15"/>
                      <w:szCs w:val="15"/>
                    </w:rPr>
                    <w:t>污水处理厂</w:t>
                  </w:r>
                </w:p>
              </w:tc>
              <w:tc>
                <w:tcPr>
                  <w:tcW w:w="526" w:type="dxa"/>
                  <w:vAlign w:val="center"/>
                </w:tcPr>
                <w:p w14:paraId="65619F6B">
                  <w:pPr>
                    <w:pStyle w:val="39"/>
                    <w:keepNext w:val="0"/>
                    <w:keepLines w:val="0"/>
                    <w:suppressLineNumbers w:val="0"/>
                    <w:spacing w:before="0" w:beforeAutospacing="0" w:after="0" w:afterAutospacing="0" w:line="280" w:lineRule="exact"/>
                    <w:ind w:left="0" w:right="0"/>
                    <w:jc w:val="center"/>
                    <w:rPr>
                      <w:rFonts w:hint="eastAsia" w:ascii="Times New Roman" w:hAnsi="Times New Roman"/>
                      <w:color w:val="auto"/>
                      <w:sz w:val="15"/>
                      <w:szCs w:val="15"/>
                    </w:rPr>
                  </w:pPr>
                  <w:r>
                    <w:rPr>
                      <w:rFonts w:hint="eastAsia" w:ascii="Times New Roman" w:hAnsi="Times New Roman"/>
                      <w:color w:val="auto"/>
                      <w:sz w:val="15"/>
                      <w:szCs w:val="15"/>
                    </w:rPr>
                    <w:t>连续</w:t>
                  </w:r>
                </w:p>
                <w:p w14:paraId="66797EA4">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排放</w:t>
                  </w:r>
                </w:p>
              </w:tc>
              <w:tc>
                <w:tcPr>
                  <w:tcW w:w="651" w:type="dxa"/>
                  <w:vAlign w:val="center"/>
                </w:tcPr>
                <w:p w14:paraId="1272A96D">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eastAsia="Calibri"/>
                      <w:color w:val="auto"/>
                      <w:sz w:val="15"/>
                      <w:szCs w:val="15"/>
                    </w:rPr>
                    <w:t>TW001</w:t>
                  </w:r>
                </w:p>
              </w:tc>
              <w:tc>
                <w:tcPr>
                  <w:tcW w:w="516" w:type="dxa"/>
                  <w:vAlign w:val="center"/>
                </w:tcPr>
                <w:p w14:paraId="11AAFE87">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color w:val="auto"/>
                      <w:sz w:val="15"/>
                      <w:szCs w:val="15"/>
                    </w:rPr>
                    <w:t>废水处理设施</w:t>
                  </w:r>
                </w:p>
              </w:tc>
              <w:tc>
                <w:tcPr>
                  <w:tcW w:w="1432" w:type="dxa"/>
                  <w:vAlign w:val="center"/>
                </w:tcPr>
                <w:p w14:paraId="0F49DFED">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color w:val="auto"/>
                      <w:sz w:val="15"/>
                      <w:szCs w:val="15"/>
                    </w:rPr>
                    <w:t>“化粪池+格栅+调节池+水解酸化+生物接触氧化+沉淀+消毒”</w:t>
                  </w:r>
                </w:p>
              </w:tc>
              <w:tc>
                <w:tcPr>
                  <w:tcW w:w="555" w:type="dxa"/>
                  <w:vAlign w:val="center"/>
                </w:tcPr>
                <w:p w14:paraId="495B2287">
                  <w:pPr>
                    <w:pStyle w:val="40"/>
                    <w:keepNext w:val="0"/>
                    <w:keepLines w:val="0"/>
                    <w:widowControl/>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cs="Times New Roman"/>
                      <w:color w:val="auto"/>
                      <w:spacing w:val="-1"/>
                      <w:sz w:val="15"/>
                      <w:szCs w:val="15"/>
                    </w:rPr>
                    <w:t>DW001</w:t>
                  </w:r>
                </w:p>
              </w:tc>
              <w:tc>
                <w:tcPr>
                  <w:tcW w:w="983" w:type="dxa"/>
                  <w:vAlign w:val="center"/>
                </w:tcPr>
                <w:p w14:paraId="10D9F833">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default" w:ascii="Times New Roman" w:hAnsi="Times New Roman"/>
                      <w:color w:val="auto"/>
                      <w:sz w:val="15"/>
                      <w:szCs w:val="15"/>
                    </w:rPr>
                    <w:t>是</w:t>
                  </w:r>
                </w:p>
              </w:tc>
              <w:tc>
                <w:tcPr>
                  <w:tcW w:w="499" w:type="dxa"/>
                  <w:vAlign w:val="center"/>
                </w:tcPr>
                <w:p w14:paraId="4342B2D7">
                  <w:pPr>
                    <w:pStyle w:val="39"/>
                    <w:keepNext w:val="0"/>
                    <w:keepLines w:val="0"/>
                    <w:suppressLineNumbers w:val="0"/>
                    <w:spacing w:before="0" w:beforeAutospacing="0" w:after="0" w:afterAutospacing="0" w:line="280" w:lineRule="exact"/>
                    <w:ind w:left="0" w:right="0"/>
                    <w:jc w:val="center"/>
                    <w:rPr>
                      <w:rFonts w:hint="default" w:ascii="Times New Roman" w:hAnsi="Times New Roman"/>
                      <w:color w:val="auto"/>
                      <w:sz w:val="15"/>
                      <w:szCs w:val="15"/>
                    </w:rPr>
                  </w:pPr>
                  <w:r>
                    <w:rPr>
                      <w:rFonts w:hint="eastAsia" w:ascii="Times New Roman" w:hAnsi="Times New Roman"/>
                      <w:color w:val="auto"/>
                      <w:sz w:val="15"/>
                      <w:szCs w:val="15"/>
                    </w:rPr>
                    <w:t>/</w:t>
                  </w:r>
                </w:p>
              </w:tc>
            </w:tr>
          </w:tbl>
          <w:p w14:paraId="687CC303">
            <w:pPr>
              <w:keepNext w:val="0"/>
              <w:keepLines w:val="0"/>
              <w:suppressLineNumbers w:val="0"/>
              <w:spacing w:before="0" w:beforeAutospacing="0" w:after="0" w:afterAutospacing="0" w:line="420" w:lineRule="exact"/>
              <w:ind w:left="0" w:right="0"/>
              <w:jc w:val="center"/>
              <w:rPr>
                <w:rFonts w:hint="default" w:eastAsia="黑体"/>
                <w:color w:val="auto"/>
                <w:sz w:val="18"/>
                <w:szCs w:val="18"/>
              </w:rPr>
            </w:pPr>
            <w:r>
              <w:rPr>
                <w:rFonts w:hint="eastAsia" w:eastAsia="黑体"/>
                <w:color w:val="auto"/>
                <w:sz w:val="18"/>
                <w:szCs w:val="18"/>
              </w:rPr>
              <w:t xml:space="preserve">表4-7   </w:t>
            </w:r>
            <w:r>
              <w:rPr>
                <w:rFonts w:hint="default" w:eastAsia="黑体"/>
                <w:color w:val="auto"/>
                <w:sz w:val="18"/>
                <w:szCs w:val="18"/>
              </w:rPr>
              <w:tab/>
            </w:r>
            <w:r>
              <w:rPr>
                <w:rFonts w:hint="eastAsia" w:eastAsia="黑体"/>
                <w:color w:val="auto"/>
                <w:sz w:val="18"/>
                <w:szCs w:val="18"/>
              </w:rPr>
              <w:t>废水间接排放口基本情况表</w:t>
            </w:r>
          </w:p>
          <w:tbl>
            <w:tblPr>
              <w:tblStyle w:val="13"/>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3"/>
              <w:gridCol w:w="695"/>
              <w:gridCol w:w="1234"/>
              <w:gridCol w:w="1134"/>
              <w:gridCol w:w="567"/>
              <w:gridCol w:w="736"/>
              <w:gridCol w:w="539"/>
              <w:gridCol w:w="426"/>
              <w:gridCol w:w="943"/>
              <w:gridCol w:w="1150"/>
            </w:tblGrid>
            <w:tr w14:paraId="549BB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393" w:type="dxa"/>
                  <w:vMerge w:val="restart"/>
                  <w:vAlign w:val="center"/>
                </w:tcPr>
                <w:p w14:paraId="2AD50612">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序 号</w:t>
                  </w:r>
                </w:p>
              </w:tc>
              <w:tc>
                <w:tcPr>
                  <w:tcW w:w="695" w:type="dxa"/>
                  <w:vMerge w:val="restart"/>
                  <w:vAlign w:val="center"/>
                </w:tcPr>
                <w:p w14:paraId="4DA3B826">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排放口编号</w:t>
                  </w:r>
                </w:p>
              </w:tc>
              <w:tc>
                <w:tcPr>
                  <w:tcW w:w="2368" w:type="dxa"/>
                  <w:gridSpan w:val="2"/>
                  <w:vAlign w:val="center"/>
                </w:tcPr>
                <w:p w14:paraId="6C2E5AEB">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排放口经纬度</w:t>
                  </w:r>
                </w:p>
              </w:tc>
              <w:tc>
                <w:tcPr>
                  <w:tcW w:w="567" w:type="dxa"/>
                  <w:vMerge w:val="restart"/>
                  <w:vAlign w:val="center"/>
                </w:tcPr>
                <w:p w14:paraId="246350D8">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废水</w:t>
                  </w:r>
                  <w:r>
                    <w:rPr>
                      <w:rFonts w:hint="default" w:ascii="Times New Roman" w:hAnsi="Times New Roman"/>
                      <w:color w:val="auto"/>
                      <w:sz w:val="18"/>
                      <w:szCs w:val="18"/>
                    </w:rPr>
                    <w:t>(</w:t>
                  </w:r>
                  <w:r>
                    <w:rPr>
                      <w:rFonts w:hint="eastAsia" w:ascii="Times New Roman" w:hAnsi="Times New Roman"/>
                      <w:color w:val="auto"/>
                      <w:sz w:val="18"/>
                      <w:szCs w:val="18"/>
                    </w:rPr>
                    <w:t>万</w:t>
                  </w:r>
                  <w:r>
                    <w:rPr>
                      <w:rFonts w:hint="default" w:ascii="Times New Roman" w:hAnsi="Times New Roman"/>
                      <w:color w:val="auto"/>
                      <w:spacing w:val="-1"/>
                      <w:sz w:val="18"/>
                      <w:szCs w:val="18"/>
                    </w:rPr>
                    <w:t>t/a)</w:t>
                  </w:r>
                </w:p>
              </w:tc>
              <w:tc>
                <w:tcPr>
                  <w:tcW w:w="736" w:type="dxa"/>
                  <w:vMerge w:val="restart"/>
                  <w:vAlign w:val="center"/>
                </w:tcPr>
                <w:p w14:paraId="041498CC">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排放规律</w:t>
                  </w:r>
                </w:p>
              </w:tc>
              <w:tc>
                <w:tcPr>
                  <w:tcW w:w="539" w:type="dxa"/>
                  <w:vMerge w:val="restart"/>
                  <w:vAlign w:val="center"/>
                </w:tcPr>
                <w:p w14:paraId="6C14210C">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间歇排放时段</w:t>
                  </w:r>
                </w:p>
              </w:tc>
              <w:tc>
                <w:tcPr>
                  <w:tcW w:w="2519" w:type="dxa"/>
                  <w:gridSpan w:val="3"/>
                  <w:vAlign w:val="center"/>
                </w:tcPr>
                <w:p w14:paraId="450AF62A">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受纳污水处理厂信息</w:t>
                  </w:r>
                </w:p>
              </w:tc>
            </w:tr>
            <w:tr w14:paraId="176A1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 w:hRule="atLeast"/>
              </w:trPr>
              <w:tc>
                <w:tcPr>
                  <w:tcW w:w="393" w:type="dxa"/>
                  <w:vMerge w:val="continue"/>
                  <w:vAlign w:val="center"/>
                </w:tcPr>
                <w:p w14:paraId="778B890B">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695" w:type="dxa"/>
                  <w:vMerge w:val="continue"/>
                  <w:vAlign w:val="center"/>
                </w:tcPr>
                <w:p w14:paraId="2B1F34FA">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1234" w:type="dxa"/>
                  <w:vAlign w:val="center"/>
                </w:tcPr>
                <w:p w14:paraId="0621A27E">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经</w:t>
                  </w:r>
                  <w:r>
                    <w:rPr>
                      <w:rFonts w:hint="eastAsia" w:ascii="Times New Roman" w:hAnsi="Times New Roman"/>
                      <w:color w:val="auto"/>
                      <w:spacing w:val="3"/>
                      <w:sz w:val="18"/>
                      <w:szCs w:val="18"/>
                    </w:rPr>
                    <w:t>度</w:t>
                  </w:r>
                  <w:r>
                    <w:rPr>
                      <w:rFonts w:hint="default" w:ascii="Times New Roman" w:hAnsi="Times New Roman"/>
                      <w:color w:val="auto"/>
                      <w:sz w:val="18"/>
                      <w:szCs w:val="18"/>
                    </w:rPr>
                    <w:t>°</w:t>
                  </w:r>
                </w:p>
              </w:tc>
              <w:tc>
                <w:tcPr>
                  <w:tcW w:w="1134" w:type="dxa"/>
                  <w:vAlign w:val="center"/>
                </w:tcPr>
                <w:p w14:paraId="140DB68E">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纬</w:t>
                  </w:r>
                  <w:r>
                    <w:rPr>
                      <w:rFonts w:hint="eastAsia" w:ascii="Times New Roman" w:hAnsi="Times New Roman"/>
                      <w:color w:val="auto"/>
                      <w:spacing w:val="3"/>
                      <w:sz w:val="18"/>
                      <w:szCs w:val="18"/>
                    </w:rPr>
                    <w:t>度</w:t>
                  </w:r>
                  <w:r>
                    <w:rPr>
                      <w:rFonts w:hint="default" w:ascii="Times New Roman" w:hAnsi="Times New Roman"/>
                      <w:color w:val="auto"/>
                      <w:sz w:val="18"/>
                      <w:szCs w:val="18"/>
                    </w:rPr>
                    <w:t>°</w:t>
                  </w:r>
                </w:p>
              </w:tc>
              <w:tc>
                <w:tcPr>
                  <w:tcW w:w="567" w:type="dxa"/>
                  <w:vMerge w:val="continue"/>
                  <w:vAlign w:val="center"/>
                </w:tcPr>
                <w:p w14:paraId="525747EF">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736" w:type="dxa"/>
                  <w:vMerge w:val="continue"/>
                  <w:vAlign w:val="center"/>
                </w:tcPr>
                <w:p w14:paraId="07AB4502">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539" w:type="dxa"/>
                  <w:vMerge w:val="continue"/>
                  <w:vAlign w:val="center"/>
                </w:tcPr>
                <w:p w14:paraId="7A8CCD22">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426" w:type="dxa"/>
                  <w:vAlign w:val="center"/>
                </w:tcPr>
                <w:p w14:paraId="53EA0838">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名称</w:t>
                  </w:r>
                </w:p>
              </w:tc>
              <w:tc>
                <w:tcPr>
                  <w:tcW w:w="943" w:type="dxa"/>
                  <w:vAlign w:val="center"/>
                </w:tcPr>
                <w:p w14:paraId="47B15A98">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污染物 种类</w:t>
                  </w:r>
                </w:p>
              </w:tc>
              <w:tc>
                <w:tcPr>
                  <w:tcW w:w="1150" w:type="dxa"/>
                  <w:vAlign w:val="center"/>
                </w:tcPr>
                <w:p w14:paraId="4737C8C6">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z w:val="18"/>
                      <w:szCs w:val="18"/>
                    </w:rPr>
                    <w:t xml:space="preserve">国家或地方污染物排放标准 浓度限值 </w:t>
                  </w:r>
                  <w:r>
                    <w:rPr>
                      <w:rFonts w:hint="default" w:ascii="Times New Roman" w:hAnsi="Times New Roman"/>
                      <w:color w:val="auto"/>
                      <w:spacing w:val="-1"/>
                      <w:sz w:val="18"/>
                      <w:szCs w:val="18"/>
                    </w:rPr>
                    <w:t>(mg/L)</w:t>
                  </w:r>
                </w:p>
              </w:tc>
            </w:tr>
            <w:tr w14:paraId="0C1F5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 w:hRule="atLeast"/>
              </w:trPr>
              <w:tc>
                <w:tcPr>
                  <w:tcW w:w="393" w:type="dxa"/>
                  <w:vMerge w:val="restart"/>
                  <w:vAlign w:val="center"/>
                </w:tcPr>
                <w:p w14:paraId="5604253B">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default" w:ascii="Times New Roman" w:hAnsi="Times New Roman" w:eastAsia="Calibri"/>
                      <w:color w:val="auto"/>
                      <w:sz w:val="18"/>
                      <w:szCs w:val="18"/>
                    </w:rPr>
                    <w:t>1</w:t>
                  </w:r>
                </w:p>
              </w:tc>
              <w:tc>
                <w:tcPr>
                  <w:tcW w:w="695" w:type="dxa"/>
                  <w:vMerge w:val="restart"/>
                  <w:vAlign w:val="center"/>
                </w:tcPr>
                <w:p w14:paraId="495626DC">
                  <w:pPr>
                    <w:pStyle w:val="39"/>
                    <w:keepNext w:val="0"/>
                    <w:keepLines w:val="0"/>
                    <w:suppressLineNumbers w:val="0"/>
                    <w:autoSpaceDE w:val="0"/>
                    <w:spacing w:before="0" w:beforeAutospacing="0" w:after="0" w:afterAutospacing="0" w:line="240" w:lineRule="exact"/>
                    <w:ind w:left="0" w:right="0"/>
                    <w:jc w:val="center"/>
                    <w:rPr>
                      <w:rFonts w:hint="eastAsia" w:ascii="Times New Roman" w:hAnsi="Times New Roman" w:eastAsiaTheme="minorEastAsia"/>
                      <w:color w:val="auto"/>
                      <w:sz w:val="18"/>
                      <w:szCs w:val="18"/>
                      <w:lang w:val="en-US" w:eastAsia="zh-CN"/>
                    </w:rPr>
                  </w:pPr>
                  <w:r>
                    <w:rPr>
                      <w:rFonts w:hint="eastAsia" w:ascii="Times New Roman" w:hAnsi="Times New Roman"/>
                      <w:color w:val="auto"/>
                      <w:spacing w:val="-1"/>
                      <w:sz w:val="18"/>
                      <w:szCs w:val="18"/>
                      <w:lang w:val="en-US" w:eastAsia="zh-CN"/>
                    </w:rPr>
                    <w:t>/</w:t>
                  </w:r>
                </w:p>
              </w:tc>
              <w:tc>
                <w:tcPr>
                  <w:tcW w:w="1234" w:type="dxa"/>
                  <w:vMerge w:val="restart"/>
                  <w:vAlign w:val="center"/>
                </w:tcPr>
                <w:p w14:paraId="6F006FCE">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107°32′8.08″</w:t>
                  </w:r>
                </w:p>
              </w:tc>
              <w:tc>
                <w:tcPr>
                  <w:tcW w:w="1134" w:type="dxa"/>
                  <w:vMerge w:val="restart"/>
                  <w:vAlign w:val="center"/>
                </w:tcPr>
                <w:p w14:paraId="2913F98B">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31°17′52.27″</w:t>
                  </w:r>
                </w:p>
              </w:tc>
              <w:tc>
                <w:tcPr>
                  <w:tcW w:w="567" w:type="dxa"/>
                  <w:vMerge w:val="restart"/>
                  <w:vAlign w:val="center"/>
                </w:tcPr>
                <w:p w14:paraId="1CB5FD44">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73</w:t>
                  </w:r>
                </w:p>
              </w:tc>
              <w:tc>
                <w:tcPr>
                  <w:tcW w:w="736" w:type="dxa"/>
                  <w:vMerge w:val="restart"/>
                  <w:vAlign w:val="center"/>
                </w:tcPr>
                <w:p w14:paraId="44201C0D">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连续排放，流量不稳定且无规律</w:t>
                  </w:r>
                </w:p>
              </w:tc>
              <w:tc>
                <w:tcPr>
                  <w:tcW w:w="539" w:type="dxa"/>
                  <w:vMerge w:val="restart"/>
                  <w:vAlign w:val="center"/>
                </w:tcPr>
                <w:p w14:paraId="1489CB48">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r>
                    <w:rPr>
                      <w:rFonts w:hint="eastAsia" w:ascii="Times New Roman" w:hAnsi="Times New Roman"/>
                      <w:color w:val="auto"/>
                      <w:spacing w:val="-1"/>
                      <w:sz w:val="18"/>
                      <w:szCs w:val="18"/>
                    </w:rPr>
                    <w:t>/</w:t>
                  </w:r>
                </w:p>
              </w:tc>
              <w:tc>
                <w:tcPr>
                  <w:tcW w:w="426" w:type="dxa"/>
                  <w:vMerge w:val="restart"/>
                  <w:vAlign w:val="center"/>
                </w:tcPr>
                <w:p w14:paraId="496FD171">
                  <w:pPr>
                    <w:keepNext w:val="0"/>
                    <w:keepLines w:val="0"/>
                    <w:suppressLineNumbers w:val="0"/>
                    <w:autoSpaceDE w:val="0"/>
                    <w:spacing w:before="0" w:beforeAutospacing="0" w:after="0" w:afterAutospacing="0" w:line="240" w:lineRule="exact"/>
                    <w:ind w:left="0" w:right="0"/>
                    <w:jc w:val="center"/>
                    <w:rPr>
                      <w:rFonts w:hint="default"/>
                      <w:color w:val="auto"/>
                      <w:sz w:val="18"/>
                      <w:szCs w:val="18"/>
                    </w:rPr>
                  </w:pPr>
                  <w:r>
                    <w:rPr>
                      <w:rFonts w:hint="eastAsia" w:ascii="Times New Roman" w:hAnsi="Times New Roman"/>
                      <w:color w:val="auto"/>
                      <w:sz w:val="18"/>
                      <w:szCs w:val="18"/>
                      <w:lang w:val="en-US" w:eastAsia="zh-CN"/>
                    </w:rPr>
                    <w:t>罗江镇场镇生活</w:t>
                  </w:r>
                  <w:r>
                    <w:rPr>
                      <w:rFonts w:hint="default" w:ascii="Times New Roman" w:hAnsi="Times New Roman"/>
                      <w:color w:val="auto"/>
                      <w:sz w:val="18"/>
                      <w:szCs w:val="18"/>
                    </w:rPr>
                    <w:t>污水处理厂</w:t>
                  </w:r>
                </w:p>
              </w:tc>
              <w:tc>
                <w:tcPr>
                  <w:tcW w:w="943" w:type="dxa"/>
                  <w:vAlign w:val="center"/>
                </w:tcPr>
                <w:p w14:paraId="7E78266A">
                  <w:pPr>
                    <w:pStyle w:val="39"/>
                    <w:keepNext w:val="0"/>
                    <w:keepLines w:val="0"/>
                    <w:suppressLineNumbers w:val="0"/>
                    <w:spacing w:before="0" w:beforeAutospacing="0" w:after="0" w:afterAutospacing="0" w:line="240" w:lineRule="exact"/>
                    <w:ind w:left="0" w:right="0"/>
                    <w:jc w:val="center"/>
                    <w:rPr>
                      <w:rFonts w:hint="default" w:ascii="Times New Roman" w:hAnsi="Times New Roman"/>
                      <w:color w:val="auto"/>
                      <w:sz w:val="18"/>
                      <w:szCs w:val="18"/>
                    </w:rPr>
                  </w:pPr>
                  <w:r>
                    <w:rPr>
                      <w:rFonts w:hint="default" w:ascii="Times New Roman" w:hAnsi="Times New Roman" w:eastAsia="Calibri"/>
                      <w:color w:val="auto"/>
                      <w:sz w:val="18"/>
                      <w:szCs w:val="18"/>
                    </w:rPr>
                    <w:t>COD</w:t>
                  </w:r>
                </w:p>
              </w:tc>
              <w:tc>
                <w:tcPr>
                  <w:tcW w:w="1150" w:type="dxa"/>
                  <w:vAlign w:val="center"/>
                </w:tcPr>
                <w:p w14:paraId="2BE8B58D">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z w:val="18"/>
                      <w:szCs w:val="18"/>
                    </w:rPr>
                  </w:pPr>
                  <w:r>
                    <w:rPr>
                      <w:rFonts w:hint="eastAsia" w:ascii="Times New Roman" w:hAnsi="Times New Roman" w:eastAsiaTheme="minorEastAsia"/>
                      <w:color w:val="auto"/>
                      <w:spacing w:val="1"/>
                      <w:sz w:val="18"/>
                      <w:szCs w:val="18"/>
                    </w:rPr>
                    <w:t>50</w:t>
                  </w:r>
                </w:p>
              </w:tc>
            </w:tr>
            <w:tr w14:paraId="04692A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393" w:type="dxa"/>
                  <w:vMerge w:val="continue"/>
                  <w:vAlign w:val="center"/>
                </w:tcPr>
                <w:p w14:paraId="68D17FB8">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z w:val="18"/>
                      <w:szCs w:val="18"/>
                    </w:rPr>
                  </w:pPr>
                </w:p>
              </w:tc>
              <w:tc>
                <w:tcPr>
                  <w:tcW w:w="695" w:type="dxa"/>
                  <w:vMerge w:val="continue"/>
                  <w:vAlign w:val="center"/>
                </w:tcPr>
                <w:p w14:paraId="05D83878">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1234" w:type="dxa"/>
                  <w:vMerge w:val="continue"/>
                  <w:vAlign w:val="center"/>
                </w:tcPr>
                <w:p w14:paraId="398601BF">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1134" w:type="dxa"/>
                  <w:vMerge w:val="continue"/>
                  <w:vAlign w:val="center"/>
                </w:tcPr>
                <w:p w14:paraId="53859B91">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67" w:type="dxa"/>
                  <w:vMerge w:val="continue"/>
                  <w:vAlign w:val="center"/>
                </w:tcPr>
                <w:p w14:paraId="729B7520">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736" w:type="dxa"/>
                  <w:vMerge w:val="continue"/>
                  <w:vAlign w:val="center"/>
                </w:tcPr>
                <w:p w14:paraId="702B887E">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39" w:type="dxa"/>
                  <w:vMerge w:val="continue"/>
                  <w:vAlign w:val="center"/>
                </w:tcPr>
                <w:p w14:paraId="165B99B6">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pacing w:val="-1"/>
                      <w:sz w:val="18"/>
                      <w:szCs w:val="18"/>
                    </w:rPr>
                  </w:pPr>
                </w:p>
              </w:tc>
              <w:tc>
                <w:tcPr>
                  <w:tcW w:w="426" w:type="dxa"/>
                  <w:vMerge w:val="continue"/>
                  <w:vAlign w:val="center"/>
                </w:tcPr>
                <w:p w14:paraId="444AABB5">
                  <w:pPr>
                    <w:keepNext w:val="0"/>
                    <w:keepLines w:val="0"/>
                    <w:suppressLineNumbers w:val="0"/>
                    <w:autoSpaceDE w:val="0"/>
                    <w:spacing w:before="0" w:beforeAutospacing="0" w:after="0" w:afterAutospacing="0" w:line="240" w:lineRule="exact"/>
                    <w:ind w:left="0" w:right="0"/>
                    <w:jc w:val="center"/>
                    <w:rPr>
                      <w:rFonts w:hint="default"/>
                      <w:color w:val="auto"/>
                      <w:sz w:val="18"/>
                      <w:szCs w:val="18"/>
                    </w:rPr>
                  </w:pPr>
                </w:p>
              </w:tc>
              <w:tc>
                <w:tcPr>
                  <w:tcW w:w="943" w:type="dxa"/>
                  <w:vAlign w:val="center"/>
                </w:tcPr>
                <w:p w14:paraId="180B674E">
                  <w:pPr>
                    <w:pStyle w:val="39"/>
                    <w:keepNext w:val="0"/>
                    <w:keepLines w:val="0"/>
                    <w:suppressLineNumbers w:val="0"/>
                    <w:spacing w:before="0" w:beforeAutospacing="0" w:after="0" w:afterAutospacing="0" w:line="240" w:lineRule="exact"/>
                    <w:ind w:left="0" w:right="0"/>
                    <w:jc w:val="center"/>
                    <w:rPr>
                      <w:rFonts w:hint="default" w:ascii="Times New Roman" w:hAnsi="Times New Roman" w:eastAsia="Calibri"/>
                      <w:color w:val="auto"/>
                      <w:sz w:val="18"/>
                      <w:szCs w:val="18"/>
                    </w:rPr>
                  </w:pPr>
                  <w:r>
                    <w:rPr>
                      <w:rFonts w:hint="default" w:ascii="Times New Roman" w:hAnsi="Times New Roman" w:eastAsia="Calibri"/>
                      <w:color w:val="auto"/>
                      <w:sz w:val="18"/>
                      <w:szCs w:val="18"/>
                    </w:rPr>
                    <w:t>BOD</w:t>
                  </w:r>
                  <w:r>
                    <w:rPr>
                      <w:rFonts w:hint="default" w:ascii="Times New Roman" w:hAnsi="Times New Roman" w:eastAsia="Calibri"/>
                      <w:color w:val="auto"/>
                      <w:sz w:val="18"/>
                      <w:szCs w:val="18"/>
                      <w:vertAlign w:val="subscript"/>
                    </w:rPr>
                    <w:t>5</w:t>
                  </w:r>
                </w:p>
              </w:tc>
              <w:tc>
                <w:tcPr>
                  <w:tcW w:w="1150" w:type="dxa"/>
                  <w:vAlign w:val="center"/>
                </w:tcPr>
                <w:p w14:paraId="5DA28BA3">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10</w:t>
                  </w:r>
                </w:p>
              </w:tc>
            </w:tr>
            <w:tr w14:paraId="7FB64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393" w:type="dxa"/>
                  <w:vMerge w:val="continue"/>
                  <w:vAlign w:val="center"/>
                </w:tcPr>
                <w:p w14:paraId="04D5D6DA">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z w:val="18"/>
                      <w:szCs w:val="18"/>
                    </w:rPr>
                  </w:pPr>
                </w:p>
              </w:tc>
              <w:tc>
                <w:tcPr>
                  <w:tcW w:w="695" w:type="dxa"/>
                  <w:vMerge w:val="continue"/>
                  <w:vAlign w:val="center"/>
                </w:tcPr>
                <w:p w14:paraId="679787FF">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1234" w:type="dxa"/>
                  <w:vMerge w:val="continue"/>
                  <w:vAlign w:val="center"/>
                </w:tcPr>
                <w:p w14:paraId="11775699">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1134" w:type="dxa"/>
                  <w:vMerge w:val="continue"/>
                  <w:vAlign w:val="center"/>
                </w:tcPr>
                <w:p w14:paraId="206083F2">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67" w:type="dxa"/>
                  <w:vMerge w:val="continue"/>
                  <w:vAlign w:val="center"/>
                </w:tcPr>
                <w:p w14:paraId="41E5BA34">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736" w:type="dxa"/>
                  <w:vMerge w:val="continue"/>
                  <w:vAlign w:val="center"/>
                </w:tcPr>
                <w:p w14:paraId="06579C9D">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39" w:type="dxa"/>
                  <w:vMerge w:val="continue"/>
                  <w:vAlign w:val="center"/>
                </w:tcPr>
                <w:p w14:paraId="0265E0D5">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pacing w:val="-1"/>
                      <w:sz w:val="18"/>
                      <w:szCs w:val="18"/>
                    </w:rPr>
                  </w:pPr>
                </w:p>
              </w:tc>
              <w:tc>
                <w:tcPr>
                  <w:tcW w:w="426" w:type="dxa"/>
                  <w:vMerge w:val="continue"/>
                  <w:vAlign w:val="center"/>
                </w:tcPr>
                <w:p w14:paraId="6A84CBF4">
                  <w:pPr>
                    <w:keepNext w:val="0"/>
                    <w:keepLines w:val="0"/>
                    <w:suppressLineNumbers w:val="0"/>
                    <w:autoSpaceDE w:val="0"/>
                    <w:spacing w:before="0" w:beforeAutospacing="0" w:after="0" w:afterAutospacing="0" w:line="240" w:lineRule="exact"/>
                    <w:ind w:left="0" w:right="0"/>
                    <w:jc w:val="center"/>
                    <w:rPr>
                      <w:rFonts w:hint="default"/>
                      <w:color w:val="auto"/>
                      <w:sz w:val="18"/>
                      <w:szCs w:val="18"/>
                    </w:rPr>
                  </w:pPr>
                </w:p>
              </w:tc>
              <w:tc>
                <w:tcPr>
                  <w:tcW w:w="943" w:type="dxa"/>
                  <w:vAlign w:val="center"/>
                </w:tcPr>
                <w:p w14:paraId="32CB72FC">
                  <w:pPr>
                    <w:keepNext w:val="0"/>
                    <w:keepLines w:val="0"/>
                    <w:suppressLineNumbers w:val="0"/>
                    <w:spacing w:before="0" w:beforeAutospacing="0" w:after="0" w:afterAutospacing="0" w:line="240" w:lineRule="exact"/>
                    <w:ind w:left="0" w:right="0"/>
                    <w:jc w:val="center"/>
                    <w:rPr>
                      <w:rFonts w:hint="default"/>
                      <w:color w:val="auto"/>
                      <w:sz w:val="18"/>
                      <w:szCs w:val="18"/>
                    </w:rPr>
                  </w:pPr>
                  <w:r>
                    <w:rPr>
                      <w:rFonts w:hint="eastAsia"/>
                      <w:color w:val="auto"/>
                      <w:sz w:val="18"/>
                      <w:szCs w:val="18"/>
                    </w:rPr>
                    <w:t>SS</w:t>
                  </w:r>
                </w:p>
              </w:tc>
              <w:tc>
                <w:tcPr>
                  <w:tcW w:w="1150" w:type="dxa"/>
                  <w:vAlign w:val="center"/>
                </w:tcPr>
                <w:p w14:paraId="6FFAB4F5">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10</w:t>
                  </w:r>
                </w:p>
              </w:tc>
            </w:tr>
            <w:tr w14:paraId="60442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393" w:type="dxa"/>
                  <w:vMerge w:val="continue"/>
                  <w:vAlign w:val="center"/>
                </w:tcPr>
                <w:p w14:paraId="4BFB77FD">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z w:val="18"/>
                      <w:szCs w:val="18"/>
                    </w:rPr>
                  </w:pPr>
                </w:p>
              </w:tc>
              <w:tc>
                <w:tcPr>
                  <w:tcW w:w="695" w:type="dxa"/>
                  <w:vMerge w:val="continue"/>
                  <w:vAlign w:val="center"/>
                </w:tcPr>
                <w:p w14:paraId="181FC9A4">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1234" w:type="dxa"/>
                  <w:vMerge w:val="continue"/>
                  <w:vAlign w:val="center"/>
                </w:tcPr>
                <w:p w14:paraId="6DBEB6C3">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1134" w:type="dxa"/>
                  <w:vMerge w:val="continue"/>
                  <w:vAlign w:val="center"/>
                </w:tcPr>
                <w:p w14:paraId="55C2474E">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67" w:type="dxa"/>
                  <w:vMerge w:val="continue"/>
                  <w:vAlign w:val="center"/>
                </w:tcPr>
                <w:p w14:paraId="4AA32DC2">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736" w:type="dxa"/>
                  <w:vMerge w:val="continue"/>
                  <w:vAlign w:val="center"/>
                </w:tcPr>
                <w:p w14:paraId="2BAD4592">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39" w:type="dxa"/>
                  <w:vMerge w:val="continue"/>
                  <w:vAlign w:val="center"/>
                </w:tcPr>
                <w:p w14:paraId="03CF8360">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pacing w:val="-1"/>
                      <w:sz w:val="18"/>
                      <w:szCs w:val="18"/>
                    </w:rPr>
                  </w:pPr>
                </w:p>
              </w:tc>
              <w:tc>
                <w:tcPr>
                  <w:tcW w:w="426" w:type="dxa"/>
                  <w:vMerge w:val="continue"/>
                  <w:vAlign w:val="center"/>
                </w:tcPr>
                <w:p w14:paraId="044D3B03">
                  <w:pPr>
                    <w:keepNext w:val="0"/>
                    <w:keepLines w:val="0"/>
                    <w:suppressLineNumbers w:val="0"/>
                    <w:autoSpaceDE w:val="0"/>
                    <w:spacing w:before="0" w:beforeAutospacing="0" w:after="0" w:afterAutospacing="0" w:line="240" w:lineRule="exact"/>
                    <w:ind w:left="0" w:right="0"/>
                    <w:jc w:val="center"/>
                    <w:rPr>
                      <w:rFonts w:hint="default"/>
                      <w:color w:val="auto"/>
                      <w:sz w:val="18"/>
                      <w:szCs w:val="18"/>
                    </w:rPr>
                  </w:pPr>
                </w:p>
              </w:tc>
              <w:tc>
                <w:tcPr>
                  <w:tcW w:w="943" w:type="dxa"/>
                  <w:vAlign w:val="center"/>
                </w:tcPr>
                <w:p w14:paraId="76B238CD">
                  <w:pPr>
                    <w:pStyle w:val="39"/>
                    <w:keepNext w:val="0"/>
                    <w:keepLines w:val="0"/>
                    <w:suppressLineNumbers w:val="0"/>
                    <w:spacing w:before="0" w:beforeAutospacing="0" w:after="0" w:afterAutospacing="0" w:line="240" w:lineRule="exact"/>
                    <w:ind w:left="0" w:right="0"/>
                    <w:jc w:val="center"/>
                    <w:rPr>
                      <w:rFonts w:hint="default" w:ascii="Times New Roman" w:hAnsi="Times New Roman" w:eastAsia="Calibri"/>
                      <w:color w:val="auto"/>
                      <w:sz w:val="18"/>
                      <w:szCs w:val="18"/>
                    </w:rPr>
                  </w:pPr>
                  <w:r>
                    <w:rPr>
                      <w:rFonts w:hint="eastAsia" w:ascii="Times New Roman" w:hAnsi="Times New Roman"/>
                      <w:color w:val="auto"/>
                      <w:sz w:val="18"/>
                      <w:szCs w:val="18"/>
                    </w:rPr>
                    <w:t>氨氮</w:t>
                  </w:r>
                </w:p>
              </w:tc>
              <w:tc>
                <w:tcPr>
                  <w:tcW w:w="1150" w:type="dxa"/>
                  <w:vAlign w:val="center"/>
                </w:tcPr>
                <w:p w14:paraId="268F45A2">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8</w:t>
                  </w:r>
                </w:p>
              </w:tc>
            </w:tr>
            <w:tr w14:paraId="70A8F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393" w:type="dxa"/>
                  <w:vMerge w:val="continue"/>
                  <w:vAlign w:val="center"/>
                </w:tcPr>
                <w:p w14:paraId="409D6890">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z w:val="18"/>
                      <w:szCs w:val="18"/>
                    </w:rPr>
                  </w:pPr>
                </w:p>
              </w:tc>
              <w:tc>
                <w:tcPr>
                  <w:tcW w:w="695" w:type="dxa"/>
                  <w:vMerge w:val="continue"/>
                  <w:vAlign w:val="center"/>
                </w:tcPr>
                <w:p w14:paraId="3207F89B">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1234" w:type="dxa"/>
                  <w:vMerge w:val="continue"/>
                  <w:vAlign w:val="center"/>
                </w:tcPr>
                <w:p w14:paraId="0B2065B6">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1134" w:type="dxa"/>
                  <w:vMerge w:val="continue"/>
                  <w:vAlign w:val="center"/>
                </w:tcPr>
                <w:p w14:paraId="412F856A">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67" w:type="dxa"/>
                  <w:vMerge w:val="continue"/>
                  <w:vAlign w:val="center"/>
                </w:tcPr>
                <w:p w14:paraId="5CD03F09">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736" w:type="dxa"/>
                  <w:vMerge w:val="continue"/>
                  <w:vAlign w:val="center"/>
                </w:tcPr>
                <w:p w14:paraId="77EE096D">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39" w:type="dxa"/>
                  <w:vMerge w:val="continue"/>
                  <w:vAlign w:val="center"/>
                </w:tcPr>
                <w:p w14:paraId="2EBE9664">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pacing w:val="-1"/>
                      <w:sz w:val="18"/>
                      <w:szCs w:val="18"/>
                    </w:rPr>
                  </w:pPr>
                </w:p>
              </w:tc>
              <w:tc>
                <w:tcPr>
                  <w:tcW w:w="426" w:type="dxa"/>
                  <w:vMerge w:val="continue"/>
                  <w:vAlign w:val="center"/>
                </w:tcPr>
                <w:p w14:paraId="1BFED620">
                  <w:pPr>
                    <w:keepNext w:val="0"/>
                    <w:keepLines w:val="0"/>
                    <w:suppressLineNumbers w:val="0"/>
                    <w:autoSpaceDE w:val="0"/>
                    <w:spacing w:before="0" w:beforeAutospacing="0" w:after="0" w:afterAutospacing="0" w:line="240" w:lineRule="exact"/>
                    <w:ind w:left="0" w:right="0"/>
                    <w:jc w:val="center"/>
                    <w:rPr>
                      <w:rFonts w:hint="default"/>
                      <w:color w:val="auto"/>
                      <w:sz w:val="18"/>
                      <w:szCs w:val="18"/>
                    </w:rPr>
                  </w:pPr>
                </w:p>
              </w:tc>
              <w:tc>
                <w:tcPr>
                  <w:tcW w:w="943" w:type="dxa"/>
                  <w:vAlign w:val="center"/>
                </w:tcPr>
                <w:p w14:paraId="5A628FC2">
                  <w:pPr>
                    <w:pStyle w:val="39"/>
                    <w:keepNext w:val="0"/>
                    <w:keepLines w:val="0"/>
                    <w:suppressLineNumbers w:val="0"/>
                    <w:spacing w:before="0" w:beforeAutospacing="0" w:after="0" w:afterAutospacing="0" w:line="240" w:lineRule="exact"/>
                    <w:ind w:left="0" w:right="0"/>
                    <w:jc w:val="center"/>
                    <w:rPr>
                      <w:rFonts w:hint="default" w:ascii="Times New Roman" w:hAnsi="Times New Roman" w:eastAsia="Calibri"/>
                      <w:color w:val="auto"/>
                      <w:sz w:val="18"/>
                      <w:szCs w:val="18"/>
                    </w:rPr>
                  </w:pPr>
                  <w:r>
                    <w:rPr>
                      <w:rFonts w:hint="eastAsia" w:ascii="Times New Roman" w:hAnsi="Times New Roman" w:cs="宋体"/>
                      <w:color w:val="auto"/>
                      <w:sz w:val="18"/>
                      <w:szCs w:val="18"/>
                    </w:rPr>
                    <w:t>粪大肠菌群</w:t>
                  </w:r>
                </w:p>
              </w:tc>
              <w:tc>
                <w:tcPr>
                  <w:tcW w:w="1150" w:type="dxa"/>
                  <w:vAlign w:val="center"/>
                </w:tcPr>
                <w:p w14:paraId="30A531E4">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1000（个/L）</w:t>
                  </w:r>
                </w:p>
              </w:tc>
            </w:tr>
            <w:tr w14:paraId="3EB38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393" w:type="dxa"/>
                  <w:vMerge w:val="continue"/>
                  <w:vAlign w:val="center"/>
                </w:tcPr>
                <w:p w14:paraId="2A13431B">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z w:val="18"/>
                      <w:szCs w:val="18"/>
                    </w:rPr>
                  </w:pPr>
                </w:p>
              </w:tc>
              <w:tc>
                <w:tcPr>
                  <w:tcW w:w="695" w:type="dxa"/>
                  <w:vMerge w:val="continue"/>
                  <w:vAlign w:val="center"/>
                </w:tcPr>
                <w:p w14:paraId="3287168D">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1234" w:type="dxa"/>
                  <w:vMerge w:val="continue"/>
                  <w:vAlign w:val="center"/>
                </w:tcPr>
                <w:p w14:paraId="432909AD">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1134" w:type="dxa"/>
                  <w:vMerge w:val="continue"/>
                  <w:vAlign w:val="center"/>
                </w:tcPr>
                <w:p w14:paraId="12A01791">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67" w:type="dxa"/>
                  <w:vMerge w:val="continue"/>
                  <w:vAlign w:val="center"/>
                </w:tcPr>
                <w:p w14:paraId="561EB731">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736" w:type="dxa"/>
                  <w:vMerge w:val="continue"/>
                  <w:vAlign w:val="center"/>
                </w:tcPr>
                <w:p w14:paraId="49DF0D96">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39" w:type="dxa"/>
                  <w:vMerge w:val="continue"/>
                  <w:vAlign w:val="center"/>
                </w:tcPr>
                <w:p w14:paraId="65D36722">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pacing w:val="-1"/>
                      <w:sz w:val="18"/>
                      <w:szCs w:val="18"/>
                    </w:rPr>
                  </w:pPr>
                </w:p>
              </w:tc>
              <w:tc>
                <w:tcPr>
                  <w:tcW w:w="426" w:type="dxa"/>
                  <w:vMerge w:val="continue"/>
                  <w:vAlign w:val="center"/>
                </w:tcPr>
                <w:p w14:paraId="7EE51B21">
                  <w:pPr>
                    <w:keepNext w:val="0"/>
                    <w:keepLines w:val="0"/>
                    <w:suppressLineNumbers w:val="0"/>
                    <w:autoSpaceDE w:val="0"/>
                    <w:spacing w:before="0" w:beforeAutospacing="0" w:after="0" w:afterAutospacing="0" w:line="240" w:lineRule="exact"/>
                    <w:ind w:left="0" w:right="0"/>
                    <w:jc w:val="center"/>
                    <w:rPr>
                      <w:rFonts w:hint="default"/>
                      <w:color w:val="auto"/>
                      <w:sz w:val="18"/>
                      <w:szCs w:val="18"/>
                    </w:rPr>
                  </w:pPr>
                </w:p>
              </w:tc>
              <w:tc>
                <w:tcPr>
                  <w:tcW w:w="943" w:type="dxa"/>
                  <w:vAlign w:val="center"/>
                </w:tcPr>
                <w:p w14:paraId="48FFAE26">
                  <w:pPr>
                    <w:pStyle w:val="39"/>
                    <w:keepNext w:val="0"/>
                    <w:keepLines w:val="0"/>
                    <w:suppressLineNumbers w:val="0"/>
                    <w:spacing w:before="0" w:beforeAutospacing="0" w:after="0" w:afterAutospacing="0" w:line="280" w:lineRule="exact"/>
                    <w:ind w:left="0" w:right="0"/>
                    <w:jc w:val="center"/>
                    <w:rPr>
                      <w:rFonts w:hint="default" w:ascii="Times New Roman" w:hAnsi="Times New Roman" w:cs="宋体"/>
                      <w:color w:val="auto"/>
                      <w:sz w:val="18"/>
                      <w:szCs w:val="18"/>
                    </w:rPr>
                  </w:pPr>
                  <w:r>
                    <w:rPr>
                      <w:rFonts w:hint="eastAsia" w:ascii="Times New Roman" w:hAnsi="Times New Roman" w:cs="宋体"/>
                      <w:color w:val="auto"/>
                      <w:sz w:val="18"/>
                      <w:szCs w:val="18"/>
                    </w:rPr>
                    <w:t>挥发酚</w:t>
                  </w:r>
                </w:p>
              </w:tc>
              <w:tc>
                <w:tcPr>
                  <w:tcW w:w="1150" w:type="dxa"/>
                  <w:vAlign w:val="center"/>
                </w:tcPr>
                <w:p w14:paraId="27A251D1">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0.5</w:t>
                  </w:r>
                </w:p>
              </w:tc>
            </w:tr>
            <w:tr w14:paraId="75717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393" w:type="dxa"/>
                  <w:vMerge w:val="continue"/>
                  <w:vAlign w:val="center"/>
                </w:tcPr>
                <w:p w14:paraId="5711A244">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z w:val="18"/>
                      <w:szCs w:val="18"/>
                    </w:rPr>
                  </w:pPr>
                </w:p>
              </w:tc>
              <w:tc>
                <w:tcPr>
                  <w:tcW w:w="695" w:type="dxa"/>
                  <w:vMerge w:val="continue"/>
                  <w:vAlign w:val="center"/>
                </w:tcPr>
                <w:p w14:paraId="76156F8F">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1234" w:type="dxa"/>
                  <w:vMerge w:val="continue"/>
                  <w:vAlign w:val="center"/>
                </w:tcPr>
                <w:p w14:paraId="79EC9FB7">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1134" w:type="dxa"/>
                  <w:vMerge w:val="continue"/>
                  <w:vAlign w:val="center"/>
                </w:tcPr>
                <w:p w14:paraId="0DE8FB42">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67" w:type="dxa"/>
                  <w:vMerge w:val="continue"/>
                  <w:vAlign w:val="center"/>
                </w:tcPr>
                <w:p w14:paraId="343886DF">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736" w:type="dxa"/>
                  <w:vMerge w:val="continue"/>
                  <w:vAlign w:val="center"/>
                </w:tcPr>
                <w:p w14:paraId="3AB5F162">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39" w:type="dxa"/>
                  <w:vMerge w:val="continue"/>
                  <w:vAlign w:val="center"/>
                </w:tcPr>
                <w:p w14:paraId="4A7D206B">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pacing w:val="-1"/>
                      <w:sz w:val="18"/>
                      <w:szCs w:val="18"/>
                    </w:rPr>
                  </w:pPr>
                </w:p>
              </w:tc>
              <w:tc>
                <w:tcPr>
                  <w:tcW w:w="426" w:type="dxa"/>
                  <w:vMerge w:val="continue"/>
                  <w:vAlign w:val="center"/>
                </w:tcPr>
                <w:p w14:paraId="21DA8527">
                  <w:pPr>
                    <w:keepNext w:val="0"/>
                    <w:keepLines w:val="0"/>
                    <w:suppressLineNumbers w:val="0"/>
                    <w:autoSpaceDE w:val="0"/>
                    <w:spacing w:before="0" w:beforeAutospacing="0" w:after="0" w:afterAutospacing="0" w:line="240" w:lineRule="exact"/>
                    <w:ind w:left="0" w:right="0"/>
                    <w:jc w:val="center"/>
                    <w:rPr>
                      <w:rFonts w:hint="default"/>
                      <w:color w:val="auto"/>
                      <w:sz w:val="18"/>
                      <w:szCs w:val="18"/>
                    </w:rPr>
                  </w:pPr>
                </w:p>
              </w:tc>
              <w:tc>
                <w:tcPr>
                  <w:tcW w:w="943" w:type="dxa"/>
                  <w:vAlign w:val="center"/>
                </w:tcPr>
                <w:p w14:paraId="26FD3392">
                  <w:pPr>
                    <w:pStyle w:val="39"/>
                    <w:keepNext w:val="0"/>
                    <w:keepLines w:val="0"/>
                    <w:suppressLineNumbers w:val="0"/>
                    <w:spacing w:before="0" w:beforeAutospacing="0" w:after="0" w:afterAutospacing="0" w:line="280" w:lineRule="exact"/>
                    <w:ind w:left="0" w:right="0"/>
                    <w:jc w:val="center"/>
                    <w:rPr>
                      <w:rFonts w:hint="default" w:ascii="Times New Roman" w:hAnsi="Times New Roman" w:cs="宋体"/>
                      <w:color w:val="auto"/>
                      <w:sz w:val="18"/>
                      <w:szCs w:val="18"/>
                    </w:rPr>
                  </w:pPr>
                  <w:r>
                    <w:rPr>
                      <w:rFonts w:hint="eastAsia" w:ascii="Times New Roman" w:hAnsi="Times New Roman" w:cs="宋体"/>
                      <w:color w:val="auto"/>
                      <w:sz w:val="18"/>
                      <w:szCs w:val="18"/>
                    </w:rPr>
                    <w:t>石油类</w:t>
                  </w:r>
                </w:p>
              </w:tc>
              <w:tc>
                <w:tcPr>
                  <w:tcW w:w="1150" w:type="dxa"/>
                  <w:vAlign w:val="center"/>
                </w:tcPr>
                <w:p w14:paraId="0E5667D8">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1</w:t>
                  </w:r>
                </w:p>
              </w:tc>
            </w:tr>
            <w:tr w14:paraId="1FB72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393" w:type="dxa"/>
                  <w:vMerge w:val="continue"/>
                  <w:vAlign w:val="center"/>
                </w:tcPr>
                <w:p w14:paraId="34058419">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z w:val="18"/>
                      <w:szCs w:val="18"/>
                    </w:rPr>
                  </w:pPr>
                </w:p>
              </w:tc>
              <w:tc>
                <w:tcPr>
                  <w:tcW w:w="695" w:type="dxa"/>
                  <w:vMerge w:val="continue"/>
                  <w:vAlign w:val="center"/>
                </w:tcPr>
                <w:p w14:paraId="4A251ABD">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1234" w:type="dxa"/>
                  <w:vMerge w:val="continue"/>
                  <w:vAlign w:val="center"/>
                </w:tcPr>
                <w:p w14:paraId="354F9F94">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1134" w:type="dxa"/>
                  <w:vMerge w:val="continue"/>
                  <w:vAlign w:val="center"/>
                </w:tcPr>
                <w:p w14:paraId="6CCC77BD">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67" w:type="dxa"/>
                  <w:vMerge w:val="continue"/>
                  <w:vAlign w:val="center"/>
                </w:tcPr>
                <w:p w14:paraId="3E60D800">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736" w:type="dxa"/>
                  <w:vMerge w:val="continue"/>
                  <w:vAlign w:val="center"/>
                </w:tcPr>
                <w:p w14:paraId="6AFED3D7">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39" w:type="dxa"/>
                  <w:vMerge w:val="continue"/>
                  <w:vAlign w:val="center"/>
                </w:tcPr>
                <w:p w14:paraId="45CC8983">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pacing w:val="-1"/>
                      <w:sz w:val="18"/>
                      <w:szCs w:val="18"/>
                    </w:rPr>
                  </w:pPr>
                </w:p>
              </w:tc>
              <w:tc>
                <w:tcPr>
                  <w:tcW w:w="426" w:type="dxa"/>
                  <w:vMerge w:val="continue"/>
                  <w:vAlign w:val="center"/>
                </w:tcPr>
                <w:p w14:paraId="10FD6202">
                  <w:pPr>
                    <w:keepNext w:val="0"/>
                    <w:keepLines w:val="0"/>
                    <w:suppressLineNumbers w:val="0"/>
                    <w:autoSpaceDE w:val="0"/>
                    <w:spacing w:before="0" w:beforeAutospacing="0" w:after="0" w:afterAutospacing="0" w:line="240" w:lineRule="exact"/>
                    <w:ind w:left="0" w:right="0"/>
                    <w:jc w:val="center"/>
                    <w:rPr>
                      <w:rFonts w:hint="default"/>
                      <w:color w:val="auto"/>
                      <w:sz w:val="18"/>
                      <w:szCs w:val="18"/>
                    </w:rPr>
                  </w:pPr>
                </w:p>
              </w:tc>
              <w:tc>
                <w:tcPr>
                  <w:tcW w:w="943" w:type="dxa"/>
                  <w:vAlign w:val="center"/>
                </w:tcPr>
                <w:p w14:paraId="3B4EF0D5">
                  <w:pPr>
                    <w:pStyle w:val="39"/>
                    <w:keepNext w:val="0"/>
                    <w:keepLines w:val="0"/>
                    <w:suppressLineNumbers w:val="0"/>
                    <w:spacing w:before="0" w:beforeAutospacing="0" w:after="0" w:afterAutospacing="0" w:line="280" w:lineRule="exact"/>
                    <w:ind w:left="0" w:right="0"/>
                    <w:jc w:val="center"/>
                    <w:rPr>
                      <w:rFonts w:hint="default" w:ascii="Times New Roman" w:hAnsi="Times New Roman" w:cs="宋体"/>
                      <w:color w:val="auto"/>
                      <w:sz w:val="18"/>
                      <w:szCs w:val="18"/>
                    </w:rPr>
                  </w:pPr>
                  <w:r>
                    <w:rPr>
                      <w:rFonts w:hint="eastAsia" w:ascii="Times New Roman" w:hAnsi="Times New Roman" w:cs="宋体"/>
                      <w:color w:val="auto"/>
                      <w:sz w:val="18"/>
                      <w:szCs w:val="18"/>
                    </w:rPr>
                    <w:t>动植物油</w:t>
                  </w:r>
                </w:p>
              </w:tc>
              <w:tc>
                <w:tcPr>
                  <w:tcW w:w="1150" w:type="dxa"/>
                  <w:vAlign w:val="center"/>
                </w:tcPr>
                <w:p w14:paraId="6E3F0153">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1</w:t>
                  </w:r>
                </w:p>
              </w:tc>
            </w:tr>
            <w:tr w14:paraId="0C4CB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393" w:type="dxa"/>
                  <w:vMerge w:val="continue"/>
                  <w:vAlign w:val="center"/>
                </w:tcPr>
                <w:p w14:paraId="19EAC059">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z w:val="18"/>
                      <w:szCs w:val="18"/>
                    </w:rPr>
                  </w:pPr>
                </w:p>
              </w:tc>
              <w:tc>
                <w:tcPr>
                  <w:tcW w:w="695" w:type="dxa"/>
                  <w:vMerge w:val="continue"/>
                  <w:vAlign w:val="center"/>
                </w:tcPr>
                <w:p w14:paraId="3BB4F08D">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1234" w:type="dxa"/>
                  <w:vMerge w:val="continue"/>
                  <w:vAlign w:val="center"/>
                </w:tcPr>
                <w:p w14:paraId="78524B55">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1134" w:type="dxa"/>
                  <w:vMerge w:val="continue"/>
                  <w:vAlign w:val="center"/>
                </w:tcPr>
                <w:p w14:paraId="79EC59C5">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67" w:type="dxa"/>
                  <w:vMerge w:val="continue"/>
                  <w:vAlign w:val="center"/>
                </w:tcPr>
                <w:p w14:paraId="302472DA">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736" w:type="dxa"/>
                  <w:vMerge w:val="continue"/>
                  <w:vAlign w:val="center"/>
                </w:tcPr>
                <w:p w14:paraId="244FAC7F">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39" w:type="dxa"/>
                  <w:vMerge w:val="continue"/>
                  <w:vAlign w:val="center"/>
                </w:tcPr>
                <w:p w14:paraId="36479C01">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pacing w:val="-1"/>
                      <w:sz w:val="18"/>
                      <w:szCs w:val="18"/>
                    </w:rPr>
                  </w:pPr>
                </w:p>
              </w:tc>
              <w:tc>
                <w:tcPr>
                  <w:tcW w:w="426" w:type="dxa"/>
                  <w:vMerge w:val="continue"/>
                  <w:vAlign w:val="center"/>
                </w:tcPr>
                <w:p w14:paraId="4EF9F002">
                  <w:pPr>
                    <w:keepNext w:val="0"/>
                    <w:keepLines w:val="0"/>
                    <w:suppressLineNumbers w:val="0"/>
                    <w:autoSpaceDE w:val="0"/>
                    <w:spacing w:before="0" w:beforeAutospacing="0" w:after="0" w:afterAutospacing="0" w:line="240" w:lineRule="exact"/>
                    <w:ind w:left="0" w:right="0"/>
                    <w:jc w:val="center"/>
                    <w:rPr>
                      <w:rFonts w:hint="default"/>
                      <w:color w:val="auto"/>
                      <w:sz w:val="18"/>
                      <w:szCs w:val="18"/>
                    </w:rPr>
                  </w:pPr>
                </w:p>
              </w:tc>
              <w:tc>
                <w:tcPr>
                  <w:tcW w:w="943" w:type="dxa"/>
                  <w:vAlign w:val="center"/>
                </w:tcPr>
                <w:p w14:paraId="4FA55D7F">
                  <w:pPr>
                    <w:pStyle w:val="39"/>
                    <w:keepNext w:val="0"/>
                    <w:keepLines w:val="0"/>
                    <w:suppressLineNumbers w:val="0"/>
                    <w:spacing w:before="0" w:beforeAutospacing="0" w:after="0" w:afterAutospacing="0" w:line="280" w:lineRule="exact"/>
                    <w:ind w:left="0" w:right="0"/>
                    <w:jc w:val="center"/>
                    <w:rPr>
                      <w:rFonts w:hint="default" w:ascii="Times New Roman" w:hAnsi="Times New Roman" w:cs="宋体"/>
                      <w:color w:val="auto"/>
                      <w:sz w:val="18"/>
                      <w:szCs w:val="18"/>
                    </w:rPr>
                  </w:pPr>
                  <w:r>
                    <w:rPr>
                      <w:rFonts w:hint="eastAsia" w:ascii="Times New Roman" w:hAnsi="Times New Roman" w:cs="宋体"/>
                      <w:color w:val="auto"/>
                      <w:sz w:val="18"/>
                      <w:szCs w:val="18"/>
                    </w:rPr>
                    <w:t>LAS</w:t>
                  </w:r>
                </w:p>
              </w:tc>
              <w:tc>
                <w:tcPr>
                  <w:tcW w:w="1150" w:type="dxa"/>
                  <w:vAlign w:val="center"/>
                </w:tcPr>
                <w:p w14:paraId="746D2ECB">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0.5</w:t>
                  </w:r>
                </w:p>
              </w:tc>
            </w:tr>
            <w:tr w14:paraId="50E61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393" w:type="dxa"/>
                  <w:vMerge w:val="continue"/>
                  <w:vAlign w:val="center"/>
                </w:tcPr>
                <w:p w14:paraId="37454B0A">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z w:val="18"/>
                      <w:szCs w:val="18"/>
                    </w:rPr>
                  </w:pPr>
                </w:p>
              </w:tc>
              <w:tc>
                <w:tcPr>
                  <w:tcW w:w="695" w:type="dxa"/>
                  <w:vMerge w:val="continue"/>
                  <w:vAlign w:val="center"/>
                </w:tcPr>
                <w:p w14:paraId="5BDA0009">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1234" w:type="dxa"/>
                  <w:vMerge w:val="continue"/>
                  <w:vAlign w:val="center"/>
                </w:tcPr>
                <w:p w14:paraId="298D1235">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1134" w:type="dxa"/>
                  <w:vMerge w:val="continue"/>
                  <w:vAlign w:val="center"/>
                </w:tcPr>
                <w:p w14:paraId="5F51C5C4">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67" w:type="dxa"/>
                  <w:vMerge w:val="continue"/>
                  <w:vAlign w:val="center"/>
                </w:tcPr>
                <w:p w14:paraId="0A75EDEB">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736" w:type="dxa"/>
                  <w:vMerge w:val="continue"/>
                  <w:vAlign w:val="center"/>
                </w:tcPr>
                <w:p w14:paraId="7B44E129">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39" w:type="dxa"/>
                  <w:vMerge w:val="continue"/>
                  <w:vAlign w:val="center"/>
                </w:tcPr>
                <w:p w14:paraId="18B19E5C">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pacing w:val="-1"/>
                      <w:sz w:val="18"/>
                      <w:szCs w:val="18"/>
                    </w:rPr>
                  </w:pPr>
                </w:p>
              </w:tc>
              <w:tc>
                <w:tcPr>
                  <w:tcW w:w="426" w:type="dxa"/>
                  <w:vMerge w:val="continue"/>
                  <w:vAlign w:val="center"/>
                </w:tcPr>
                <w:p w14:paraId="1B59DC16">
                  <w:pPr>
                    <w:keepNext w:val="0"/>
                    <w:keepLines w:val="0"/>
                    <w:suppressLineNumbers w:val="0"/>
                    <w:autoSpaceDE w:val="0"/>
                    <w:spacing w:before="0" w:beforeAutospacing="0" w:after="0" w:afterAutospacing="0" w:line="240" w:lineRule="exact"/>
                    <w:ind w:left="0" w:right="0"/>
                    <w:jc w:val="center"/>
                    <w:rPr>
                      <w:rFonts w:hint="default"/>
                      <w:color w:val="auto"/>
                      <w:sz w:val="18"/>
                      <w:szCs w:val="18"/>
                    </w:rPr>
                  </w:pPr>
                </w:p>
              </w:tc>
              <w:tc>
                <w:tcPr>
                  <w:tcW w:w="943" w:type="dxa"/>
                  <w:vAlign w:val="center"/>
                </w:tcPr>
                <w:p w14:paraId="4C8D0515">
                  <w:pPr>
                    <w:pStyle w:val="39"/>
                    <w:keepNext w:val="0"/>
                    <w:keepLines w:val="0"/>
                    <w:suppressLineNumbers w:val="0"/>
                    <w:spacing w:before="0" w:beforeAutospacing="0" w:after="0" w:afterAutospacing="0" w:line="280" w:lineRule="exact"/>
                    <w:ind w:left="0" w:right="0"/>
                    <w:jc w:val="center"/>
                    <w:rPr>
                      <w:rFonts w:hint="default" w:ascii="Times New Roman" w:hAnsi="Times New Roman" w:cs="宋体"/>
                      <w:color w:val="auto"/>
                      <w:sz w:val="18"/>
                      <w:szCs w:val="18"/>
                    </w:rPr>
                  </w:pPr>
                  <w:r>
                    <w:rPr>
                      <w:rFonts w:hint="eastAsia" w:ascii="Times New Roman" w:hAnsi="Times New Roman" w:cs="宋体"/>
                      <w:color w:val="auto"/>
                      <w:sz w:val="18"/>
                      <w:szCs w:val="18"/>
                    </w:rPr>
                    <w:t>总氰化物</w:t>
                  </w:r>
                </w:p>
              </w:tc>
              <w:tc>
                <w:tcPr>
                  <w:tcW w:w="1150" w:type="dxa"/>
                  <w:vAlign w:val="center"/>
                </w:tcPr>
                <w:p w14:paraId="3C81D841">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0.5</w:t>
                  </w:r>
                </w:p>
              </w:tc>
            </w:tr>
            <w:tr w14:paraId="57240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393" w:type="dxa"/>
                  <w:vMerge w:val="continue"/>
                  <w:vAlign w:val="center"/>
                </w:tcPr>
                <w:p w14:paraId="160EADD9">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z w:val="18"/>
                      <w:szCs w:val="18"/>
                    </w:rPr>
                  </w:pPr>
                </w:p>
              </w:tc>
              <w:tc>
                <w:tcPr>
                  <w:tcW w:w="695" w:type="dxa"/>
                  <w:vMerge w:val="continue"/>
                  <w:vAlign w:val="center"/>
                </w:tcPr>
                <w:p w14:paraId="02264D68">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1234" w:type="dxa"/>
                  <w:vMerge w:val="continue"/>
                  <w:vAlign w:val="center"/>
                </w:tcPr>
                <w:p w14:paraId="3CE331EE">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1134" w:type="dxa"/>
                  <w:vMerge w:val="continue"/>
                  <w:vAlign w:val="center"/>
                </w:tcPr>
                <w:p w14:paraId="5042FCCB">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67" w:type="dxa"/>
                  <w:vMerge w:val="continue"/>
                  <w:vAlign w:val="center"/>
                </w:tcPr>
                <w:p w14:paraId="14AD679C">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Calibri"/>
                      <w:color w:val="auto"/>
                      <w:spacing w:val="-1"/>
                      <w:sz w:val="18"/>
                      <w:szCs w:val="18"/>
                    </w:rPr>
                  </w:pPr>
                </w:p>
              </w:tc>
              <w:tc>
                <w:tcPr>
                  <w:tcW w:w="736" w:type="dxa"/>
                  <w:vMerge w:val="continue"/>
                  <w:vAlign w:val="center"/>
                </w:tcPr>
                <w:p w14:paraId="6980B4BE">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z w:val="18"/>
                      <w:szCs w:val="18"/>
                    </w:rPr>
                  </w:pPr>
                </w:p>
              </w:tc>
              <w:tc>
                <w:tcPr>
                  <w:tcW w:w="539" w:type="dxa"/>
                  <w:vMerge w:val="continue"/>
                  <w:vAlign w:val="center"/>
                </w:tcPr>
                <w:p w14:paraId="18985088">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color w:val="auto"/>
                      <w:spacing w:val="-1"/>
                      <w:sz w:val="18"/>
                      <w:szCs w:val="18"/>
                    </w:rPr>
                  </w:pPr>
                </w:p>
              </w:tc>
              <w:tc>
                <w:tcPr>
                  <w:tcW w:w="426" w:type="dxa"/>
                  <w:vMerge w:val="continue"/>
                  <w:vAlign w:val="center"/>
                </w:tcPr>
                <w:p w14:paraId="4BEBE34A">
                  <w:pPr>
                    <w:keepNext w:val="0"/>
                    <w:keepLines w:val="0"/>
                    <w:suppressLineNumbers w:val="0"/>
                    <w:autoSpaceDE w:val="0"/>
                    <w:spacing w:before="0" w:beforeAutospacing="0" w:after="0" w:afterAutospacing="0" w:line="240" w:lineRule="exact"/>
                    <w:ind w:left="0" w:right="0"/>
                    <w:jc w:val="center"/>
                    <w:rPr>
                      <w:rFonts w:hint="default"/>
                      <w:color w:val="auto"/>
                      <w:sz w:val="18"/>
                      <w:szCs w:val="18"/>
                    </w:rPr>
                  </w:pPr>
                </w:p>
              </w:tc>
              <w:tc>
                <w:tcPr>
                  <w:tcW w:w="943" w:type="dxa"/>
                  <w:vAlign w:val="center"/>
                </w:tcPr>
                <w:p w14:paraId="5609A6DE">
                  <w:pPr>
                    <w:pStyle w:val="39"/>
                    <w:keepNext w:val="0"/>
                    <w:keepLines w:val="0"/>
                    <w:suppressLineNumbers w:val="0"/>
                    <w:spacing w:before="0" w:beforeAutospacing="0" w:after="0" w:afterAutospacing="0" w:line="280" w:lineRule="exact"/>
                    <w:ind w:left="0" w:right="0"/>
                    <w:jc w:val="center"/>
                    <w:rPr>
                      <w:rFonts w:hint="default" w:ascii="Times New Roman" w:hAnsi="Times New Roman" w:cs="宋体"/>
                      <w:color w:val="auto"/>
                      <w:sz w:val="18"/>
                      <w:szCs w:val="18"/>
                    </w:rPr>
                  </w:pPr>
                  <w:r>
                    <w:rPr>
                      <w:rFonts w:hint="eastAsia" w:ascii="Times New Roman" w:hAnsi="Times New Roman" w:cs="宋体"/>
                      <w:color w:val="auto"/>
                      <w:sz w:val="18"/>
                      <w:szCs w:val="18"/>
                    </w:rPr>
                    <w:t>pH</w:t>
                  </w:r>
                </w:p>
              </w:tc>
              <w:tc>
                <w:tcPr>
                  <w:tcW w:w="1150" w:type="dxa"/>
                  <w:vAlign w:val="center"/>
                </w:tcPr>
                <w:p w14:paraId="14F90A34">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6~9</w:t>
                  </w:r>
                </w:p>
              </w:tc>
            </w:tr>
            <w:tr w14:paraId="0156E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 w:hRule="atLeast"/>
              </w:trPr>
              <w:tc>
                <w:tcPr>
                  <w:tcW w:w="393" w:type="dxa"/>
                  <w:vMerge w:val="continue"/>
                  <w:vAlign w:val="center"/>
                </w:tcPr>
                <w:p w14:paraId="18198A7B">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695" w:type="dxa"/>
                  <w:vMerge w:val="continue"/>
                  <w:vAlign w:val="center"/>
                </w:tcPr>
                <w:p w14:paraId="4016FC32">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1234" w:type="dxa"/>
                  <w:vMerge w:val="continue"/>
                  <w:vAlign w:val="center"/>
                </w:tcPr>
                <w:p w14:paraId="14699D93">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1134" w:type="dxa"/>
                  <w:vMerge w:val="continue"/>
                  <w:vAlign w:val="center"/>
                </w:tcPr>
                <w:p w14:paraId="31F46ED7">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567" w:type="dxa"/>
                  <w:vMerge w:val="continue"/>
                  <w:vAlign w:val="center"/>
                </w:tcPr>
                <w:p w14:paraId="0A695E9A">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736" w:type="dxa"/>
                  <w:vMerge w:val="continue"/>
                  <w:vAlign w:val="center"/>
                </w:tcPr>
                <w:p w14:paraId="0B69A0F3">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539" w:type="dxa"/>
                  <w:vMerge w:val="continue"/>
                  <w:vAlign w:val="center"/>
                </w:tcPr>
                <w:p w14:paraId="7DEA99A8">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426" w:type="dxa"/>
                  <w:vMerge w:val="continue"/>
                  <w:vAlign w:val="center"/>
                </w:tcPr>
                <w:p w14:paraId="5FE28F92">
                  <w:pPr>
                    <w:keepNext w:val="0"/>
                    <w:keepLines w:val="0"/>
                    <w:widowControl/>
                    <w:suppressLineNumbers w:val="0"/>
                    <w:spacing w:before="0" w:beforeAutospacing="0" w:after="0" w:afterAutospacing="0" w:line="240" w:lineRule="exact"/>
                    <w:ind w:left="0" w:right="0"/>
                    <w:rPr>
                      <w:rFonts w:hint="default"/>
                      <w:color w:val="auto"/>
                      <w:sz w:val="18"/>
                      <w:szCs w:val="18"/>
                    </w:rPr>
                  </w:pPr>
                </w:p>
              </w:tc>
              <w:tc>
                <w:tcPr>
                  <w:tcW w:w="943" w:type="dxa"/>
                  <w:vAlign w:val="center"/>
                </w:tcPr>
                <w:p w14:paraId="67DDCB8A">
                  <w:pPr>
                    <w:pStyle w:val="39"/>
                    <w:keepNext w:val="0"/>
                    <w:keepLines w:val="0"/>
                    <w:suppressLineNumbers w:val="0"/>
                    <w:autoSpaceDE w:val="0"/>
                    <w:spacing w:before="0" w:beforeAutospacing="0" w:after="0" w:afterAutospacing="0" w:line="280" w:lineRule="exact"/>
                    <w:ind w:left="0" w:right="0"/>
                    <w:jc w:val="center"/>
                    <w:rPr>
                      <w:rFonts w:hint="default" w:ascii="Times New Roman" w:hAnsi="Times New Roman"/>
                      <w:color w:val="auto"/>
                      <w:sz w:val="18"/>
                      <w:szCs w:val="18"/>
                    </w:rPr>
                  </w:pPr>
                  <w:r>
                    <w:rPr>
                      <w:rFonts w:hint="default" w:ascii="Times New Roman" w:hAnsi="Times New Roman"/>
                      <w:color w:val="auto"/>
                      <w:sz w:val="18"/>
                      <w:szCs w:val="18"/>
                    </w:rPr>
                    <w:t>色度</w:t>
                  </w:r>
                </w:p>
              </w:tc>
              <w:tc>
                <w:tcPr>
                  <w:tcW w:w="1150" w:type="dxa"/>
                  <w:vAlign w:val="center"/>
                </w:tcPr>
                <w:p w14:paraId="16932512">
                  <w:pPr>
                    <w:pStyle w:val="39"/>
                    <w:keepNext w:val="0"/>
                    <w:keepLines w:val="0"/>
                    <w:suppressLineNumbers w:val="0"/>
                    <w:autoSpaceDE w:val="0"/>
                    <w:spacing w:before="0" w:beforeAutospacing="0" w:after="0" w:afterAutospacing="0" w:line="240" w:lineRule="exact"/>
                    <w:ind w:left="0" w:right="0"/>
                    <w:jc w:val="center"/>
                    <w:rPr>
                      <w:rFonts w:hint="default" w:ascii="Times New Roman" w:hAnsi="Times New Roman" w:eastAsiaTheme="minorEastAsia"/>
                      <w:color w:val="auto"/>
                      <w:sz w:val="18"/>
                      <w:szCs w:val="18"/>
                    </w:rPr>
                  </w:pPr>
                  <w:r>
                    <w:rPr>
                      <w:rFonts w:hint="eastAsia" w:ascii="Times New Roman" w:hAnsi="Times New Roman" w:eastAsiaTheme="minorEastAsia"/>
                      <w:color w:val="auto"/>
                      <w:sz w:val="18"/>
                      <w:szCs w:val="18"/>
                    </w:rPr>
                    <w:t>30（稀释倍数）</w:t>
                  </w:r>
                </w:p>
              </w:tc>
            </w:tr>
          </w:tbl>
          <w:p w14:paraId="243E0BE3">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（3）达标排放分析</w:t>
            </w:r>
          </w:p>
          <w:p w14:paraId="59D6AF6F">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b/>
                <w:color w:val="auto"/>
                <w:szCs w:val="21"/>
              </w:rPr>
            </w:pPr>
            <w:r>
              <w:rPr>
                <w:rFonts w:hint="eastAsia"/>
                <w:b/>
                <w:color w:val="auto"/>
                <w:szCs w:val="21"/>
              </w:rPr>
              <w:t>1）工艺介绍</w:t>
            </w:r>
          </w:p>
          <w:p w14:paraId="795BB905">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color w:val="auto"/>
                <w:szCs w:val="21"/>
              </w:rPr>
              <w:t>本项目废水处理设施</w:t>
            </w:r>
            <w:r>
              <w:rPr>
                <w:rFonts w:hint="default"/>
                <w:color w:val="auto"/>
                <w:szCs w:val="21"/>
              </w:rPr>
              <w:t>采用“化粪池+格栅+调节池+水解酸化+生物接触氧化+沉淀+消毒”处理工艺，属于《医院污水处理工程技术规范》（</w:t>
            </w:r>
            <w:r>
              <w:rPr>
                <w:rFonts w:hint="eastAsia"/>
                <w:color w:val="auto"/>
                <w:szCs w:val="21"/>
              </w:rPr>
              <w:t>HJ</w:t>
            </w:r>
            <w:r>
              <w:rPr>
                <w:rFonts w:hint="default"/>
                <w:color w:val="auto"/>
                <w:szCs w:val="21"/>
              </w:rPr>
              <w:t>2029-2013）中推荐的医院污水预处理工艺。该工艺技术成熟，运行稳定可靠，目前已在国内众多医院中得到应用。该废水处理设施工艺流程图如下：</w:t>
            </w:r>
          </w:p>
          <w:p w14:paraId="2048AA21">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rPr>
            </w:pPr>
            <w:r>
              <w:rPr>
                <w:rFonts w:hint="eastAsia" w:eastAsia="黑体" w:cs="宋体"/>
                <w:color w:val="auto"/>
                <w:kern w:val="0"/>
                <w:szCs w:val="21"/>
              </w:rPr>
              <mc:AlternateContent>
                <mc:Choice Requires="wpg">
                  <w:drawing>
                    <wp:anchor distT="0" distB="0" distL="114300" distR="114300" simplePos="0" relativeHeight="251685888" behindDoc="0" locked="0" layoutInCell="1" allowOverlap="1">
                      <wp:simplePos x="0" y="0"/>
                      <wp:positionH relativeFrom="column">
                        <wp:posOffset>-38100</wp:posOffset>
                      </wp:positionH>
                      <wp:positionV relativeFrom="paragraph">
                        <wp:posOffset>55880</wp:posOffset>
                      </wp:positionV>
                      <wp:extent cx="4767580" cy="2381250"/>
                      <wp:effectExtent l="0" t="0" r="12700" b="19050"/>
                      <wp:wrapNone/>
                      <wp:docPr id="155" name="组合 155"/>
                      <wp:cNvGraphicFramePr/>
                      <a:graphic xmlns:a="http://schemas.openxmlformats.org/drawingml/2006/main">
                        <a:graphicData uri="http://schemas.microsoft.com/office/word/2010/wordprocessingGroup">
                          <wpg:wgp>
                            <wpg:cNvGrpSpPr/>
                            <wpg:grpSpPr>
                              <a:xfrm>
                                <a:off x="0" y="0"/>
                                <a:ext cx="4767507" cy="2381250"/>
                                <a:chOff x="2228" y="618952"/>
                                <a:chExt cx="7938" cy="3996"/>
                              </a:xfrm>
                            </wpg:grpSpPr>
                            <wps:wsp>
                              <wps:cNvPr id="156" name="文本框 478"/>
                              <wps:cNvSpPr txBox="1">
                                <a:spLocks noChangeArrowheads="1"/>
                              </wps:cNvSpPr>
                              <wps:spPr bwMode="auto">
                                <a:xfrm>
                                  <a:off x="2228" y="618952"/>
                                  <a:ext cx="1311" cy="439"/>
                                </a:xfrm>
                                <a:prstGeom prst="rect">
                                  <a:avLst/>
                                </a:prstGeom>
                                <a:noFill/>
                                <a:ln>
                                  <a:noFill/>
                                </a:ln>
                                <a:effectLst/>
                              </wps:spPr>
                              <wps:txbx>
                                <w:txbxContent>
                                  <w:p w14:paraId="0E28416B">
                                    <w:pPr>
                                      <w:spacing w:line="240" w:lineRule="exact"/>
                                      <w:ind w:left="-53" w:leftChars="-25" w:right="-53" w:rightChars="-25"/>
                                      <w:jc w:val="center"/>
                                      <w:rPr>
                                        <w:sz w:val="18"/>
                                        <w:szCs w:val="18"/>
                                      </w:rPr>
                                    </w:pPr>
                                    <w:r>
                                      <w:rPr>
                                        <w:rFonts w:hint="eastAsia"/>
                                        <w:sz w:val="18"/>
                                        <w:szCs w:val="18"/>
                                      </w:rPr>
                                      <w:t>检验室废水</w:t>
                                    </w:r>
                                  </w:p>
                                </w:txbxContent>
                              </wps:txbx>
                              <wps:bodyPr rot="0" vert="horz" wrap="square" lIns="91440" tIns="45720" rIns="91440" bIns="45720" anchor="t" anchorCtr="0" upright="1">
                                <a:noAutofit/>
                              </wps:bodyPr>
                            </wps:wsp>
                            <wps:wsp>
                              <wps:cNvPr id="157" name="直接连接符 464"/>
                              <wps:cNvCnPr>
                                <a:cxnSpLocks noChangeShapeType="1"/>
                              </wps:cNvCnPr>
                              <wps:spPr bwMode="auto">
                                <a:xfrm>
                                  <a:off x="5667" y="620111"/>
                                  <a:ext cx="0" cy="879"/>
                                </a:xfrm>
                                <a:prstGeom prst="line">
                                  <a:avLst/>
                                </a:prstGeom>
                                <a:noFill/>
                                <a:ln w="9525" cmpd="sng">
                                  <a:solidFill>
                                    <a:srgbClr val="000000"/>
                                  </a:solidFill>
                                  <a:prstDash val="dash"/>
                                  <a:round/>
                                  <a:tailEnd type="triangle" w="med" len="med"/>
                                </a:ln>
                                <a:effectLst/>
                              </wps:spPr>
                              <wps:bodyPr/>
                            </wps:wsp>
                            <wps:wsp>
                              <wps:cNvPr id="158" name="直接箭头连接符 471"/>
                              <wps:cNvCnPr>
                                <a:cxnSpLocks noChangeShapeType="1"/>
                              </wps:cNvCnPr>
                              <wps:spPr bwMode="auto">
                                <a:xfrm>
                                  <a:off x="4500" y="621160"/>
                                  <a:ext cx="550" cy="0"/>
                                </a:xfrm>
                                <a:prstGeom prst="straightConnector1">
                                  <a:avLst/>
                                </a:prstGeom>
                                <a:noFill/>
                                <a:ln w="9525" cmpd="sng">
                                  <a:solidFill>
                                    <a:srgbClr val="000000"/>
                                  </a:solidFill>
                                  <a:prstDash val="dash"/>
                                  <a:round/>
                                  <a:headEnd type="triangle" w="med" len="med"/>
                                </a:ln>
                                <a:effectLst/>
                              </wps:spPr>
                              <wps:bodyPr/>
                            </wps:wsp>
                            <wps:wsp>
                              <wps:cNvPr id="159" name="文本框 472"/>
                              <wps:cNvSpPr txBox="1">
                                <a:spLocks noChangeArrowheads="1"/>
                              </wps:cNvSpPr>
                              <wps:spPr bwMode="auto">
                                <a:xfrm>
                                  <a:off x="2394" y="620835"/>
                                  <a:ext cx="2183" cy="661"/>
                                </a:xfrm>
                                <a:prstGeom prst="rect">
                                  <a:avLst/>
                                </a:prstGeom>
                                <a:noFill/>
                                <a:ln>
                                  <a:noFill/>
                                </a:ln>
                                <a:effectLst/>
                              </wps:spPr>
                              <wps:txbx>
                                <w:txbxContent>
                                  <w:p w14:paraId="2AB08A21">
                                    <w:pPr>
                                      <w:spacing w:line="240" w:lineRule="exact"/>
                                      <w:ind w:left="-53" w:leftChars="-25" w:right="-53" w:rightChars="-25"/>
                                      <w:jc w:val="center"/>
                                      <w:rPr>
                                        <w:sz w:val="18"/>
                                        <w:szCs w:val="18"/>
                                      </w:rPr>
                                    </w:pPr>
                                    <w:r>
                                      <w:rPr>
                                        <w:rFonts w:hint="eastAsia"/>
                                        <w:sz w:val="18"/>
                                        <w:szCs w:val="18"/>
                                      </w:rPr>
                                      <w:t>定期清掏，采用生石灰消杀后委托有资质单位处理理</w:t>
                                    </w:r>
                                  </w:p>
                                </w:txbxContent>
                              </wps:txbx>
                              <wps:bodyPr rot="0" vert="horz" wrap="square" lIns="91440" tIns="45720" rIns="91440" bIns="45720" anchor="t" anchorCtr="0" upright="1">
                                <a:noAutofit/>
                              </wps:bodyPr>
                            </wps:wsp>
                            <wps:wsp>
                              <wps:cNvPr id="160" name="文本框 476"/>
                              <wps:cNvSpPr txBox="1">
                                <a:spLocks noChangeArrowheads="1"/>
                              </wps:cNvSpPr>
                              <wps:spPr bwMode="auto">
                                <a:xfrm>
                                  <a:off x="6481" y="621740"/>
                                  <a:ext cx="1311" cy="385"/>
                                </a:xfrm>
                                <a:prstGeom prst="rect">
                                  <a:avLst/>
                                </a:prstGeom>
                                <a:noFill/>
                                <a:ln>
                                  <a:noFill/>
                                </a:ln>
                                <a:effectLst/>
                              </wps:spPr>
                              <wps:txbx>
                                <w:txbxContent>
                                  <w:p w14:paraId="348EEE83">
                                    <w:pPr>
                                      <w:spacing w:line="240" w:lineRule="exact"/>
                                      <w:ind w:left="-53" w:leftChars="-25" w:right="-53" w:rightChars="-25"/>
                                      <w:jc w:val="center"/>
                                      <w:rPr>
                                        <w:sz w:val="18"/>
                                        <w:szCs w:val="18"/>
                                      </w:rPr>
                                    </w:pPr>
                                    <w:r>
                                      <w:rPr>
                                        <w:rFonts w:hint="eastAsia"/>
                                        <w:sz w:val="18"/>
                                        <w:szCs w:val="18"/>
                                      </w:rPr>
                                      <w:t>市政污水管网</w:t>
                                    </w:r>
                                  </w:p>
                                </w:txbxContent>
                              </wps:txbx>
                              <wps:bodyPr rot="0" vert="horz" wrap="square" lIns="91440" tIns="45720" rIns="91440" bIns="45720" anchor="t" anchorCtr="0" upright="1">
                                <a:noAutofit/>
                              </wps:bodyPr>
                            </wps:wsp>
                            <wps:wsp>
                              <wps:cNvPr id="161" name="直接连接符 138"/>
                              <wps:cNvCnPr>
                                <a:cxnSpLocks noChangeShapeType="1"/>
                              </wps:cNvCnPr>
                              <wps:spPr bwMode="auto">
                                <a:xfrm>
                                  <a:off x="4441" y="619363"/>
                                  <a:ext cx="0" cy="397"/>
                                </a:xfrm>
                                <a:prstGeom prst="line">
                                  <a:avLst/>
                                </a:prstGeom>
                                <a:noFill/>
                                <a:ln w="9525" cmpd="sng">
                                  <a:solidFill>
                                    <a:srgbClr val="000000"/>
                                  </a:solidFill>
                                  <a:round/>
                                  <a:tailEnd type="triangle" w="med" len="med"/>
                                </a:ln>
                                <a:effectLst/>
                              </wps:spPr>
                              <wps:bodyPr/>
                            </wps:wsp>
                            <wps:wsp>
                              <wps:cNvPr id="162" name="文本框 35"/>
                              <wps:cNvSpPr txBox="1">
                                <a:spLocks noChangeArrowheads="1"/>
                              </wps:cNvSpPr>
                              <wps:spPr bwMode="auto">
                                <a:xfrm>
                                  <a:off x="3807" y="619013"/>
                                  <a:ext cx="1261" cy="330"/>
                                </a:xfrm>
                                <a:prstGeom prst="rect">
                                  <a:avLst/>
                                </a:prstGeom>
                                <a:solidFill>
                                  <a:srgbClr val="FFFFFF"/>
                                </a:solidFill>
                                <a:ln w="6350" cmpd="sng">
                                  <a:solidFill>
                                    <a:srgbClr val="000000"/>
                                  </a:solidFill>
                                  <a:round/>
                                </a:ln>
                                <a:effectLst/>
                              </wps:spPr>
                              <wps:txbx>
                                <w:txbxContent>
                                  <w:p w14:paraId="15BF79C1">
                                    <w:pPr>
                                      <w:spacing w:line="240" w:lineRule="exact"/>
                                      <w:ind w:left="-53" w:leftChars="-25" w:right="-53" w:rightChars="-25"/>
                                      <w:jc w:val="center"/>
                                      <w:rPr>
                                        <w:sz w:val="18"/>
                                        <w:szCs w:val="21"/>
                                      </w:rPr>
                                    </w:pPr>
                                    <w:r>
                                      <w:rPr>
                                        <w:rFonts w:hint="eastAsia"/>
                                        <w:sz w:val="18"/>
                                        <w:szCs w:val="21"/>
                                      </w:rPr>
                                      <w:t>实验室预处理</w:t>
                                    </w:r>
                                  </w:p>
                                </w:txbxContent>
                              </wps:txbx>
                              <wps:bodyPr rot="0" vert="horz" wrap="square" lIns="36000" tIns="18000" rIns="36000" bIns="18000" anchor="t" anchorCtr="0" upright="1">
                                <a:noAutofit/>
                              </wps:bodyPr>
                            </wps:wsp>
                            <wps:wsp>
                              <wps:cNvPr id="163" name="直接箭头连接符 36"/>
                              <wps:cNvCnPr>
                                <a:cxnSpLocks noChangeShapeType="1"/>
                              </wps:cNvCnPr>
                              <wps:spPr bwMode="auto">
                                <a:xfrm>
                                  <a:off x="3352" y="619168"/>
                                  <a:ext cx="467" cy="0"/>
                                </a:xfrm>
                                <a:prstGeom prst="straightConnector1">
                                  <a:avLst/>
                                </a:prstGeom>
                                <a:noFill/>
                                <a:ln w="6350" cmpd="sng">
                                  <a:solidFill>
                                    <a:srgbClr val="000000"/>
                                  </a:solidFill>
                                  <a:round/>
                                  <a:tailEnd type="triangle" w="med" len="med"/>
                                </a:ln>
                                <a:effectLst/>
                              </wps:spPr>
                              <wps:bodyPr/>
                            </wps:wsp>
                            <wps:wsp>
                              <wps:cNvPr id="164" name="直接连接符 60"/>
                              <wps:cNvCnPr>
                                <a:cxnSpLocks noChangeShapeType="1"/>
                              </wps:cNvCnPr>
                              <wps:spPr bwMode="auto">
                                <a:xfrm>
                                  <a:off x="9888" y="620131"/>
                                  <a:ext cx="0" cy="1672"/>
                                </a:xfrm>
                                <a:prstGeom prst="line">
                                  <a:avLst/>
                                </a:prstGeom>
                                <a:noFill/>
                                <a:ln w="9525" cmpd="sng">
                                  <a:solidFill>
                                    <a:srgbClr val="000000"/>
                                  </a:solidFill>
                                  <a:round/>
                                  <a:tailEnd type="triangle" w="med" len="med"/>
                                </a:ln>
                                <a:effectLst/>
                              </wps:spPr>
                              <wps:bodyPr/>
                            </wps:wsp>
                            <wps:wsp>
                              <wps:cNvPr id="165" name="文本框 63"/>
                              <wps:cNvSpPr txBox="1">
                                <a:spLocks noChangeArrowheads="1"/>
                              </wps:cNvSpPr>
                              <wps:spPr bwMode="auto">
                                <a:xfrm>
                                  <a:off x="9439" y="621796"/>
                                  <a:ext cx="727" cy="330"/>
                                </a:xfrm>
                                <a:prstGeom prst="rect">
                                  <a:avLst/>
                                </a:prstGeom>
                                <a:solidFill>
                                  <a:srgbClr val="FFFFFF"/>
                                </a:solidFill>
                                <a:ln w="6350" cmpd="sng">
                                  <a:solidFill>
                                    <a:srgbClr val="000000"/>
                                  </a:solidFill>
                                  <a:round/>
                                </a:ln>
                                <a:effectLst/>
                              </wps:spPr>
                              <wps:txbx>
                                <w:txbxContent>
                                  <w:p w14:paraId="49242BBB">
                                    <w:pPr>
                                      <w:spacing w:line="240" w:lineRule="exact"/>
                                      <w:ind w:left="-53" w:leftChars="-25" w:right="-53" w:rightChars="-25"/>
                                      <w:jc w:val="center"/>
                                      <w:rPr>
                                        <w:sz w:val="18"/>
                                        <w:szCs w:val="21"/>
                                      </w:rPr>
                                    </w:pPr>
                                    <w:r>
                                      <w:rPr>
                                        <w:rFonts w:hint="eastAsia"/>
                                        <w:sz w:val="18"/>
                                        <w:szCs w:val="21"/>
                                        <w:lang w:val="en-US" w:eastAsia="zh-CN"/>
                                      </w:rPr>
                                      <w:t>沉淀池</w:t>
                                    </w:r>
                                  </w:p>
                                </w:txbxContent>
                              </wps:txbx>
                              <wps:bodyPr rot="0" vert="horz" wrap="square" lIns="36000" tIns="18000" rIns="36000" bIns="18000" anchor="t" anchorCtr="0" upright="1">
                                <a:noAutofit/>
                              </wps:bodyPr>
                            </wps:wsp>
                            <wps:wsp>
                              <wps:cNvPr id="166" name="文本框 65"/>
                              <wps:cNvSpPr txBox="1">
                                <a:spLocks noChangeArrowheads="1"/>
                              </wps:cNvSpPr>
                              <wps:spPr bwMode="auto">
                                <a:xfrm>
                                  <a:off x="8194" y="621776"/>
                                  <a:ext cx="635" cy="330"/>
                                </a:xfrm>
                                <a:prstGeom prst="rect">
                                  <a:avLst/>
                                </a:prstGeom>
                                <a:solidFill>
                                  <a:srgbClr val="FFFFFF"/>
                                </a:solidFill>
                                <a:ln w="6350" cmpd="sng">
                                  <a:solidFill>
                                    <a:srgbClr val="000000"/>
                                  </a:solidFill>
                                  <a:round/>
                                </a:ln>
                                <a:effectLst/>
                              </wps:spPr>
                              <wps:txbx>
                                <w:txbxContent>
                                  <w:p w14:paraId="7BA6BE30">
                                    <w:pPr>
                                      <w:spacing w:line="240" w:lineRule="exact"/>
                                      <w:ind w:left="-53" w:leftChars="-25" w:right="-53" w:rightChars="-25"/>
                                      <w:jc w:val="center"/>
                                      <w:rPr>
                                        <w:sz w:val="18"/>
                                        <w:szCs w:val="21"/>
                                      </w:rPr>
                                    </w:pPr>
                                    <w:r>
                                      <w:rPr>
                                        <w:rFonts w:hint="eastAsia"/>
                                        <w:sz w:val="18"/>
                                        <w:szCs w:val="21"/>
                                      </w:rPr>
                                      <w:t>消毒池</w:t>
                                    </w:r>
                                  </w:p>
                                </w:txbxContent>
                              </wps:txbx>
                              <wps:bodyPr rot="0" vert="horz" wrap="square" lIns="36000" tIns="18000" rIns="36000" bIns="18000" anchor="t" anchorCtr="0" upright="1">
                                <a:noAutofit/>
                              </wps:bodyPr>
                            </wps:wsp>
                            <wps:wsp>
                              <wps:cNvPr id="167" name="直接连接符 71"/>
                              <wps:cNvCnPr>
                                <a:cxnSpLocks noChangeShapeType="1"/>
                              </wps:cNvCnPr>
                              <wps:spPr bwMode="auto">
                                <a:xfrm>
                                  <a:off x="7869" y="620156"/>
                                  <a:ext cx="0" cy="986"/>
                                </a:xfrm>
                                <a:prstGeom prst="line">
                                  <a:avLst/>
                                </a:prstGeom>
                                <a:noFill/>
                                <a:ln w="9525" cmpd="sng">
                                  <a:solidFill>
                                    <a:srgbClr val="000000"/>
                                  </a:solidFill>
                                  <a:prstDash val="dash"/>
                                  <a:round/>
                                  <a:tailEnd type="triangle" w="med" len="med"/>
                                </a:ln>
                                <a:effectLst/>
                              </wps:spPr>
                              <wps:bodyPr/>
                            </wps:wsp>
                            <wps:wsp>
                              <wps:cNvPr id="168" name="文本框 70"/>
                              <wps:cNvSpPr txBox="1">
                                <a:spLocks noChangeArrowheads="1"/>
                              </wps:cNvSpPr>
                              <wps:spPr bwMode="auto">
                                <a:xfrm>
                                  <a:off x="8112" y="622584"/>
                                  <a:ext cx="893" cy="364"/>
                                </a:xfrm>
                                <a:prstGeom prst="rect">
                                  <a:avLst/>
                                </a:prstGeom>
                                <a:solidFill>
                                  <a:srgbClr val="FFFFFF"/>
                                </a:solidFill>
                                <a:ln w="6350" cmpd="sng">
                                  <a:solidFill>
                                    <a:srgbClr val="000000"/>
                                  </a:solidFill>
                                  <a:round/>
                                </a:ln>
                                <a:effectLst/>
                              </wps:spPr>
                              <wps:txbx>
                                <w:txbxContent>
                                  <w:p w14:paraId="36D7C73B">
                                    <w:pPr>
                                      <w:spacing w:line="240" w:lineRule="exact"/>
                                      <w:ind w:left="-53" w:leftChars="-25" w:right="-53" w:rightChars="-25"/>
                                      <w:jc w:val="center"/>
                                      <w:rPr>
                                        <w:rFonts w:hint="eastAsia" w:eastAsia="宋体"/>
                                        <w:lang w:val="en-US" w:eastAsia="zh-CN"/>
                                      </w:rPr>
                                    </w:pPr>
                                    <w:r>
                                      <w:rPr>
                                        <w:rFonts w:hint="eastAsia"/>
                                        <w:sz w:val="18"/>
                                        <w:szCs w:val="21"/>
                                        <w:lang w:val="en-US" w:eastAsia="zh-CN"/>
                                      </w:rPr>
                                      <w:t>氯片</w:t>
                                    </w:r>
                                  </w:p>
                                </w:txbxContent>
                              </wps:txbx>
                              <wps:bodyPr rot="0" vert="horz" wrap="square" lIns="18000" tIns="10800" rIns="18000" bIns="45720" anchor="t" anchorCtr="0" upright="1">
                                <a:noAutofit/>
                              </wps:bodyPr>
                            </wps:wsp>
                            <wpg:grpSp>
                              <wpg:cNvPr id="169" name="组合 75"/>
                              <wpg:cNvGrpSpPr/>
                              <wpg:grpSpPr>
                                <a:xfrm flipV="1">
                                  <a:off x="6620" y="621174"/>
                                  <a:ext cx="3091" cy="618"/>
                                  <a:chOff x="5162" y="492520"/>
                                  <a:chExt cx="895" cy="606"/>
                                </a:xfrm>
                              </wpg:grpSpPr>
                              <wps:wsp>
                                <wps:cNvPr id="170" name="直接连接符 465"/>
                                <wps:cNvCnPr>
                                  <a:cxnSpLocks noChangeShapeType="1"/>
                                </wps:cNvCnPr>
                                <wps:spPr bwMode="auto">
                                  <a:xfrm>
                                    <a:off x="6057" y="492520"/>
                                    <a:ext cx="0" cy="600"/>
                                  </a:xfrm>
                                  <a:prstGeom prst="line">
                                    <a:avLst/>
                                  </a:prstGeom>
                                  <a:noFill/>
                                  <a:ln w="9525" cmpd="sng">
                                    <a:solidFill>
                                      <a:srgbClr val="000000"/>
                                    </a:solidFill>
                                    <a:prstDash val="dash"/>
                                    <a:round/>
                                    <a:tailEnd type="triangle" w="med" len="med"/>
                                  </a:ln>
                                  <a:effectLst/>
                                </wps:spPr>
                                <wps:bodyPr/>
                              </wps:wsp>
                              <wps:wsp>
                                <wps:cNvPr id="171" name="直接箭头连接符 67"/>
                                <wps:cNvCnPr>
                                  <a:cxnSpLocks noChangeShapeType="1"/>
                                </wps:cNvCnPr>
                                <wps:spPr bwMode="auto">
                                  <a:xfrm flipV="1">
                                    <a:off x="5162" y="493120"/>
                                    <a:ext cx="895" cy="6"/>
                                  </a:xfrm>
                                  <a:prstGeom prst="straightConnector1">
                                    <a:avLst/>
                                  </a:prstGeom>
                                  <a:noFill/>
                                  <a:ln w="9525" cmpd="sng">
                                    <a:solidFill>
                                      <a:srgbClr val="000000"/>
                                    </a:solidFill>
                                    <a:prstDash val="dash"/>
                                    <a:round/>
                                    <a:headEnd type="triangle" w="med" len="med"/>
                                  </a:ln>
                                  <a:effectLst/>
                                </wps:spPr>
                                <wps:bodyPr/>
                              </wps:wsp>
                            </wpg:grpSp>
                            <wps:wsp>
                              <wps:cNvPr id="172" name="直接连接符 77"/>
                              <wps:cNvCnPr>
                                <a:cxnSpLocks noChangeShapeType="1"/>
                              </wps:cNvCnPr>
                              <wps:spPr bwMode="auto">
                                <a:xfrm flipH="1" flipV="1">
                                  <a:off x="8497" y="622118"/>
                                  <a:ext cx="1" cy="431"/>
                                </a:xfrm>
                                <a:prstGeom prst="line">
                                  <a:avLst/>
                                </a:prstGeom>
                                <a:noFill/>
                                <a:ln w="9525" cmpd="sng">
                                  <a:solidFill>
                                    <a:srgbClr val="000000"/>
                                  </a:solidFill>
                                  <a:prstDash val="dash"/>
                                  <a:round/>
                                  <a:tailEnd type="triangle" w="med" len="med"/>
                                </a:ln>
                                <a:effectLst/>
                              </wps:spPr>
                              <wps:bodyPr/>
                            </wps:wsp>
                            <wps:wsp>
                              <wps:cNvPr id="179" name="文本框 73"/>
                              <wps:cNvSpPr txBox="1">
                                <a:spLocks noChangeArrowheads="1"/>
                              </wps:cNvSpPr>
                              <wps:spPr bwMode="auto">
                                <a:xfrm>
                                  <a:off x="5047" y="620989"/>
                                  <a:ext cx="1580" cy="359"/>
                                </a:xfrm>
                                <a:prstGeom prst="rect">
                                  <a:avLst/>
                                </a:prstGeom>
                                <a:solidFill>
                                  <a:srgbClr val="FFFFFF"/>
                                </a:solidFill>
                                <a:ln w="6350" cmpd="sng">
                                  <a:solidFill>
                                    <a:srgbClr val="000000"/>
                                  </a:solidFill>
                                  <a:round/>
                                </a:ln>
                                <a:effectLst/>
                              </wps:spPr>
                              <wps:txbx>
                                <w:txbxContent>
                                  <w:p w14:paraId="6BABF91B">
                                    <w:pPr>
                                      <w:spacing w:line="240" w:lineRule="exact"/>
                                      <w:ind w:left="-53" w:leftChars="-25" w:right="-53" w:rightChars="-25"/>
                                      <w:jc w:val="center"/>
                                      <w:rPr>
                                        <w:sz w:val="18"/>
                                        <w:szCs w:val="18"/>
                                      </w:rPr>
                                    </w:pPr>
                                    <w:r>
                                      <w:rPr>
                                        <w:rFonts w:hint="eastAsia"/>
                                        <w:sz w:val="18"/>
                                        <w:szCs w:val="18"/>
                                      </w:rPr>
                                      <w:t>污泥浓缩、脱水</w:t>
                                    </w:r>
                                  </w:p>
                                </w:txbxContent>
                              </wps:txbx>
                              <wps:bodyPr rot="0" vert="horz" wrap="square" lIns="91440" tIns="36000" rIns="91440" bIns="36000" anchor="t" anchorCtr="0" upright="1">
                                <a:noAutofit/>
                              </wps:bodyPr>
                            </wps:wsp>
                            <wps:wsp>
                              <wps:cNvPr id="180" name="文本框 78"/>
                              <wps:cNvSpPr txBox="1">
                                <a:spLocks noChangeArrowheads="1"/>
                              </wps:cNvSpPr>
                              <wps:spPr bwMode="auto">
                                <a:xfrm>
                                  <a:off x="8804" y="621242"/>
                                  <a:ext cx="1021" cy="439"/>
                                </a:xfrm>
                                <a:prstGeom prst="rect">
                                  <a:avLst/>
                                </a:prstGeom>
                                <a:noFill/>
                                <a:ln>
                                  <a:noFill/>
                                </a:ln>
                                <a:effectLst/>
                              </wps:spPr>
                              <wps:txbx>
                                <w:txbxContent>
                                  <w:p w14:paraId="7403440E">
                                    <w:pPr>
                                      <w:spacing w:line="240" w:lineRule="exact"/>
                                      <w:ind w:left="-53" w:leftChars="-25" w:right="-53" w:rightChars="-25"/>
                                      <w:jc w:val="center"/>
                                      <w:rPr>
                                        <w:sz w:val="18"/>
                                        <w:szCs w:val="18"/>
                                      </w:rPr>
                                    </w:pPr>
                                    <w:r>
                                      <w:rPr>
                                        <w:rFonts w:hint="eastAsia"/>
                                        <w:sz w:val="18"/>
                                        <w:szCs w:val="18"/>
                                      </w:rPr>
                                      <w:t>剩余污泥</w:t>
                                    </w:r>
                                  </w:p>
                                </w:txbxContent>
                              </wps:txbx>
                              <wps:bodyPr rot="0" vert="horz" wrap="square" lIns="91440" tIns="45720" rIns="91440" bIns="45720" anchor="t" anchorCtr="0" upright="1">
                                <a:noAutofit/>
                              </wps:bodyPr>
                            </wps:wsp>
                            <wps:wsp>
                              <wps:cNvPr id="181" name="文本框 81"/>
                              <wps:cNvSpPr txBox="1">
                                <a:spLocks noChangeArrowheads="1"/>
                              </wps:cNvSpPr>
                              <wps:spPr bwMode="auto">
                                <a:xfrm>
                                  <a:off x="5562" y="620170"/>
                                  <a:ext cx="637" cy="439"/>
                                </a:xfrm>
                                <a:prstGeom prst="rect">
                                  <a:avLst/>
                                </a:prstGeom>
                                <a:noFill/>
                                <a:ln>
                                  <a:noFill/>
                                </a:ln>
                                <a:effectLst/>
                              </wps:spPr>
                              <wps:txbx>
                                <w:txbxContent>
                                  <w:p w14:paraId="5350DC1F">
                                    <w:pPr>
                                      <w:spacing w:line="240" w:lineRule="exact"/>
                                      <w:ind w:left="-53" w:leftChars="-25" w:right="-53" w:rightChars="-25"/>
                                      <w:jc w:val="center"/>
                                      <w:rPr>
                                        <w:sz w:val="18"/>
                                        <w:szCs w:val="18"/>
                                      </w:rPr>
                                    </w:pPr>
                                    <w:r>
                                      <w:rPr>
                                        <w:rFonts w:hint="eastAsia"/>
                                        <w:sz w:val="18"/>
                                        <w:szCs w:val="18"/>
                                      </w:rPr>
                                      <w:t>栅渣</w:t>
                                    </w:r>
                                  </w:p>
                                </w:txbxContent>
                              </wps:txbx>
                              <wps:bodyPr rot="0" vert="horz" wrap="square" lIns="91440" tIns="45720" rIns="91440" bIns="45720" anchor="t" anchorCtr="0" upright="1">
                                <a:noAutofit/>
                              </wps:bodyPr>
                            </wps:wsp>
                            <wps:wsp>
                              <wps:cNvPr id="182" name="文本框 82"/>
                              <wps:cNvSpPr txBox="1">
                                <a:spLocks noChangeArrowheads="1"/>
                              </wps:cNvSpPr>
                              <wps:spPr bwMode="auto">
                                <a:xfrm>
                                  <a:off x="7815" y="620190"/>
                                  <a:ext cx="603" cy="710"/>
                                </a:xfrm>
                                <a:prstGeom prst="rect">
                                  <a:avLst/>
                                </a:prstGeom>
                                <a:noFill/>
                                <a:ln>
                                  <a:noFill/>
                                </a:ln>
                                <a:effectLst/>
                              </wps:spPr>
                              <wps:txbx>
                                <w:txbxContent>
                                  <w:p w14:paraId="08694F3C">
                                    <w:pPr>
                                      <w:spacing w:line="240" w:lineRule="exact"/>
                                      <w:ind w:left="-53" w:leftChars="-25" w:right="-53" w:rightChars="-25"/>
                                      <w:jc w:val="center"/>
                                      <w:rPr>
                                        <w:sz w:val="18"/>
                                        <w:szCs w:val="18"/>
                                      </w:rPr>
                                    </w:pPr>
                                    <w:r>
                                      <w:rPr>
                                        <w:rFonts w:hint="eastAsia"/>
                                        <w:sz w:val="18"/>
                                        <w:szCs w:val="18"/>
                                      </w:rPr>
                                      <w:t>污泥</w:t>
                                    </w:r>
                                  </w:p>
                                </w:txbxContent>
                              </wps:txbx>
                              <wps:bodyPr rot="0" vert="horz" wrap="square" lIns="91440" tIns="45720" rIns="91440" bIns="45720" anchor="t" anchorCtr="0" upright="1">
                                <a:noAutofit/>
                              </wps:bodyPr>
                            </wps:wsp>
                            <wps:wsp>
                              <wps:cNvPr id="185" name="直接箭头连接符 66"/>
                              <wps:cNvCnPr>
                                <a:cxnSpLocks noChangeShapeType="1"/>
                              </wps:cNvCnPr>
                              <wps:spPr bwMode="auto">
                                <a:xfrm flipH="1" flipV="1">
                                  <a:off x="7635" y="621933"/>
                                  <a:ext cx="562" cy="1"/>
                                </a:xfrm>
                                <a:prstGeom prst="straightConnector1">
                                  <a:avLst/>
                                </a:prstGeom>
                                <a:noFill/>
                                <a:ln w="6350" cmpd="sng">
                                  <a:solidFill>
                                    <a:srgbClr val="000000"/>
                                  </a:solidFill>
                                  <a:round/>
                                  <a:tailEnd type="triangle" w="med" len="med"/>
                                </a:ln>
                                <a:effectLst/>
                              </wps:spPr>
                              <wps:bodyPr/>
                            </wps:wsp>
                            <wpg:grpSp>
                              <wpg:cNvPr id="186" name="组合 1036"/>
                              <wpg:cNvGrpSpPr/>
                              <wpg:grpSpPr>
                                <a:xfrm>
                                  <a:off x="2317" y="619685"/>
                                  <a:ext cx="7797" cy="669"/>
                                  <a:chOff x="1990" y="1977297"/>
                                  <a:chExt cx="7944" cy="705"/>
                                </a:xfrm>
                              </wpg:grpSpPr>
                              <wps:wsp>
                                <wps:cNvPr id="187" name="文本框 449"/>
                                <wps:cNvSpPr txBox="1">
                                  <a:spLocks noChangeArrowheads="1"/>
                                </wps:cNvSpPr>
                                <wps:spPr bwMode="auto">
                                  <a:xfrm>
                                    <a:off x="3654" y="1977355"/>
                                    <a:ext cx="1014" cy="348"/>
                                  </a:xfrm>
                                  <a:prstGeom prst="rect">
                                    <a:avLst/>
                                  </a:prstGeom>
                                  <a:solidFill>
                                    <a:srgbClr val="FFFFFF"/>
                                  </a:solidFill>
                                  <a:ln w="6350" cmpd="sng">
                                    <a:solidFill>
                                      <a:srgbClr val="000000"/>
                                    </a:solidFill>
                                    <a:round/>
                                  </a:ln>
                                  <a:effectLst/>
                                </wps:spPr>
                                <wps:txbx>
                                  <w:txbxContent>
                                    <w:p w14:paraId="265E872A">
                                      <w:pPr>
                                        <w:spacing w:line="240" w:lineRule="exact"/>
                                        <w:ind w:left="-53" w:leftChars="-25" w:right="-53" w:rightChars="-25"/>
                                        <w:jc w:val="center"/>
                                        <w:rPr>
                                          <w:rFonts w:hint="eastAsia" w:eastAsia="宋体"/>
                                          <w:sz w:val="18"/>
                                          <w:szCs w:val="21"/>
                                          <w:lang w:eastAsia="zh-CN"/>
                                        </w:rPr>
                                      </w:pPr>
                                      <w:r>
                                        <w:rPr>
                                          <w:rFonts w:hint="eastAsia"/>
                                          <w:sz w:val="18"/>
                                          <w:szCs w:val="21"/>
                                          <w:lang w:val="en-US" w:eastAsia="zh-CN"/>
                                        </w:rPr>
                                        <w:t>化粪池</w:t>
                                      </w:r>
                                    </w:p>
                                  </w:txbxContent>
                                </wps:txbx>
                                <wps:bodyPr rot="0" vert="horz" wrap="square" lIns="36000" tIns="18000" rIns="36000" bIns="18000" anchor="t" anchorCtr="0" upright="1">
                                  <a:noAutofit/>
                                </wps:bodyPr>
                              </wps:wsp>
                              <wps:wsp>
                                <wps:cNvPr id="188" name="文本框 479"/>
                                <wps:cNvSpPr txBox="1">
                                  <a:spLocks noChangeArrowheads="1"/>
                                </wps:cNvSpPr>
                                <wps:spPr bwMode="auto">
                                  <a:xfrm>
                                    <a:off x="1990" y="1977297"/>
                                    <a:ext cx="1314" cy="705"/>
                                  </a:xfrm>
                                  <a:prstGeom prst="rect">
                                    <a:avLst/>
                                  </a:prstGeom>
                                  <a:noFill/>
                                  <a:ln>
                                    <a:noFill/>
                                  </a:ln>
                                  <a:effectLst/>
                                </wps:spPr>
                                <wps:txbx>
                                  <w:txbxContent>
                                    <w:p w14:paraId="7DB9B121">
                                      <w:pPr>
                                        <w:spacing w:line="240" w:lineRule="exact"/>
                                        <w:ind w:right="-53" w:rightChars="-25"/>
                                        <w:jc w:val="center"/>
                                        <w:rPr>
                                          <w:sz w:val="18"/>
                                          <w:szCs w:val="18"/>
                                        </w:rPr>
                                      </w:pPr>
                                      <w:r>
                                        <w:rPr>
                                          <w:rFonts w:hint="eastAsia"/>
                                          <w:sz w:val="18"/>
                                          <w:szCs w:val="18"/>
                                        </w:rPr>
                                        <w:t>医疗废水</w:t>
                                      </w:r>
                                    </w:p>
                                    <w:p w14:paraId="6AF00E55">
                                      <w:pPr>
                                        <w:spacing w:line="240" w:lineRule="exact"/>
                                        <w:ind w:left="-53" w:leftChars="-25" w:right="-53" w:rightChars="-25"/>
                                        <w:jc w:val="center"/>
                                        <w:rPr>
                                          <w:sz w:val="18"/>
                                          <w:szCs w:val="18"/>
                                        </w:rPr>
                                      </w:pPr>
                                      <w:r>
                                        <w:rPr>
                                          <w:rFonts w:hint="eastAsia"/>
                                          <w:sz w:val="18"/>
                                          <w:szCs w:val="18"/>
                                        </w:rPr>
                                        <w:t>生活污水</w:t>
                                      </w:r>
                                    </w:p>
                                  </w:txbxContent>
                                </wps:txbx>
                                <wps:bodyPr rot="0" vert="horz" wrap="square" lIns="91440" tIns="45720" rIns="91440" bIns="45720" anchor="t" anchorCtr="0" upright="1">
                                  <a:noAutofit/>
                                </wps:bodyPr>
                              </wps:wsp>
                              <wps:wsp>
                                <wps:cNvPr id="189" name="直接箭头连接符 50"/>
                                <wps:cNvCnPr>
                                  <a:cxnSpLocks noChangeShapeType="1"/>
                                </wps:cNvCnPr>
                                <wps:spPr bwMode="auto">
                                  <a:xfrm>
                                    <a:off x="3185" y="1977530"/>
                                    <a:ext cx="484" cy="0"/>
                                  </a:xfrm>
                                  <a:prstGeom prst="straightConnector1">
                                    <a:avLst/>
                                  </a:prstGeom>
                                  <a:noFill/>
                                  <a:ln w="6350" cmpd="sng">
                                    <a:solidFill>
                                      <a:srgbClr val="000000"/>
                                    </a:solidFill>
                                    <a:round/>
                                    <a:tailEnd type="triangle" w="med" len="med"/>
                                  </a:ln>
                                  <a:effectLst/>
                                </wps:spPr>
                                <wps:bodyPr/>
                              </wps:wsp>
                              <wps:wsp>
                                <wps:cNvPr id="190" name="文本框 40"/>
                                <wps:cNvSpPr txBox="1">
                                  <a:spLocks noChangeArrowheads="1"/>
                                </wps:cNvSpPr>
                                <wps:spPr bwMode="auto">
                                  <a:xfrm>
                                    <a:off x="5141" y="1977378"/>
                                    <a:ext cx="492" cy="348"/>
                                  </a:xfrm>
                                  <a:prstGeom prst="rect">
                                    <a:avLst/>
                                  </a:prstGeom>
                                  <a:solidFill>
                                    <a:srgbClr val="FFFFFF"/>
                                  </a:solidFill>
                                  <a:ln w="6350" cmpd="sng">
                                    <a:solidFill>
                                      <a:srgbClr val="000000"/>
                                    </a:solidFill>
                                    <a:round/>
                                  </a:ln>
                                  <a:effectLst/>
                                </wps:spPr>
                                <wps:txbx>
                                  <w:txbxContent>
                                    <w:p w14:paraId="2FB8B15D">
                                      <w:pPr>
                                        <w:spacing w:line="240" w:lineRule="exact"/>
                                        <w:ind w:left="-53" w:leftChars="-25" w:right="-53" w:rightChars="-25"/>
                                        <w:jc w:val="center"/>
                                        <w:rPr>
                                          <w:sz w:val="18"/>
                                          <w:szCs w:val="21"/>
                                        </w:rPr>
                                      </w:pPr>
                                      <w:r>
                                        <w:rPr>
                                          <w:rFonts w:hint="eastAsia"/>
                                          <w:sz w:val="18"/>
                                          <w:szCs w:val="21"/>
                                        </w:rPr>
                                        <w:t>格栅</w:t>
                                      </w:r>
                                    </w:p>
                                  </w:txbxContent>
                                </wps:txbx>
                                <wps:bodyPr rot="0" vert="horz" wrap="square" lIns="36000" tIns="18000" rIns="36000" bIns="18000" anchor="t" anchorCtr="0" upright="1">
                                  <a:noAutofit/>
                                </wps:bodyPr>
                              </wps:wsp>
                              <wps:wsp>
                                <wps:cNvPr id="191" name="直接箭头连接符 38"/>
                                <wps:cNvCnPr>
                                  <a:cxnSpLocks noChangeShapeType="1"/>
                                </wps:cNvCnPr>
                                <wps:spPr bwMode="auto">
                                  <a:xfrm>
                                    <a:off x="4673" y="1977545"/>
                                    <a:ext cx="482" cy="0"/>
                                  </a:xfrm>
                                  <a:prstGeom prst="straightConnector1">
                                    <a:avLst/>
                                  </a:prstGeom>
                                  <a:noFill/>
                                  <a:ln w="6350" cmpd="sng">
                                    <a:solidFill>
                                      <a:srgbClr val="000000"/>
                                    </a:solidFill>
                                    <a:round/>
                                    <a:tailEnd type="triangle" w="med" len="med"/>
                                  </a:ln>
                                  <a:effectLst/>
                                </wps:spPr>
                                <wps:bodyPr/>
                              </wps:wsp>
                              <wps:wsp>
                                <wps:cNvPr id="480" name="直接箭头连接符 41"/>
                                <wps:cNvCnPr>
                                  <a:cxnSpLocks noChangeShapeType="1"/>
                                </wps:cNvCnPr>
                                <wps:spPr bwMode="auto">
                                  <a:xfrm>
                                    <a:off x="5627" y="1977546"/>
                                    <a:ext cx="400" cy="0"/>
                                  </a:xfrm>
                                  <a:prstGeom prst="straightConnector1">
                                    <a:avLst/>
                                  </a:prstGeom>
                                  <a:noFill/>
                                  <a:ln w="6350" cmpd="sng">
                                    <a:solidFill>
                                      <a:srgbClr val="000000"/>
                                    </a:solidFill>
                                    <a:round/>
                                    <a:tailEnd type="triangle" w="med" len="med"/>
                                  </a:ln>
                                  <a:effectLst/>
                                </wps:spPr>
                                <wps:bodyPr/>
                              </wps:wsp>
                              <wps:wsp>
                                <wps:cNvPr id="481" name="文本框 55"/>
                                <wps:cNvSpPr txBox="1">
                                  <a:spLocks noChangeArrowheads="1"/>
                                </wps:cNvSpPr>
                                <wps:spPr bwMode="auto">
                                  <a:xfrm>
                                    <a:off x="5979" y="1977399"/>
                                    <a:ext cx="655" cy="349"/>
                                  </a:xfrm>
                                  <a:prstGeom prst="rect">
                                    <a:avLst/>
                                  </a:prstGeom>
                                  <a:solidFill>
                                    <a:srgbClr val="FFFFFF"/>
                                  </a:solidFill>
                                  <a:ln w="6350" cmpd="sng">
                                    <a:solidFill>
                                      <a:srgbClr val="000000"/>
                                    </a:solidFill>
                                    <a:round/>
                                  </a:ln>
                                  <a:effectLst/>
                                </wps:spPr>
                                <wps:txbx>
                                  <w:txbxContent>
                                    <w:p w14:paraId="730831F6">
                                      <w:pPr>
                                        <w:spacing w:line="240" w:lineRule="exact"/>
                                        <w:ind w:left="-53" w:leftChars="-25" w:right="-53" w:rightChars="-25"/>
                                        <w:jc w:val="center"/>
                                        <w:rPr>
                                          <w:sz w:val="18"/>
                                          <w:szCs w:val="21"/>
                                        </w:rPr>
                                      </w:pPr>
                                      <w:r>
                                        <w:rPr>
                                          <w:rFonts w:hint="eastAsia"/>
                                          <w:sz w:val="18"/>
                                          <w:szCs w:val="21"/>
                                        </w:rPr>
                                        <w:t>调节池</w:t>
                                      </w:r>
                                    </w:p>
                                  </w:txbxContent>
                                </wps:txbx>
                                <wps:bodyPr rot="0" vert="horz" wrap="square" lIns="36000" tIns="18000" rIns="36000" bIns="18000" anchor="t" anchorCtr="0" upright="1">
                                  <a:noAutofit/>
                                </wps:bodyPr>
                              </wps:wsp>
                              <wps:wsp>
                                <wps:cNvPr id="482" name="直接箭头连接符 58"/>
                                <wps:cNvCnPr>
                                  <a:cxnSpLocks noChangeShapeType="1"/>
                                </wps:cNvCnPr>
                                <wps:spPr bwMode="auto">
                                  <a:xfrm>
                                    <a:off x="6656" y="1977576"/>
                                    <a:ext cx="462" cy="0"/>
                                  </a:xfrm>
                                  <a:prstGeom prst="straightConnector1">
                                    <a:avLst/>
                                  </a:prstGeom>
                                  <a:noFill/>
                                  <a:ln w="6350" cmpd="sng">
                                    <a:solidFill>
                                      <a:srgbClr val="000000"/>
                                    </a:solidFill>
                                    <a:round/>
                                    <a:tailEnd type="triangle" w="med" len="med"/>
                                  </a:ln>
                                  <a:effectLst/>
                                </wps:spPr>
                                <wps:bodyPr/>
                              </wps:wsp>
                              <wps:wsp>
                                <wps:cNvPr id="483" name="文本框 59"/>
                                <wps:cNvSpPr txBox="1">
                                  <a:spLocks noChangeArrowheads="1"/>
                                </wps:cNvSpPr>
                                <wps:spPr bwMode="auto">
                                  <a:xfrm>
                                    <a:off x="7084" y="1977409"/>
                                    <a:ext cx="1241" cy="348"/>
                                  </a:xfrm>
                                  <a:prstGeom prst="rect">
                                    <a:avLst/>
                                  </a:prstGeom>
                                  <a:solidFill>
                                    <a:srgbClr val="FFFFFF"/>
                                  </a:solidFill>
                                  <a:ln w="6350" cmpd="sng">
                                    <a:solidFill>
                                      <a:srgbClr val="000000"/>
                                    </a:solidFill>
                                    <a:round/>
                                  </a:ln>
                                  <a:effectLst/>
                                </wps:spPr>
                                <wps:txbx>
                                  <w:txbxContent>
                                    <w:p w14:paraId="6F0E9F77">
                                      <w:pPr>
                                        <w:spacing w:line="240" w:lineRule="exact"/>
                                        <w:ind w:left="-53" w:leftChars="-25" w:right="-53" w:rightChars="-25"/>
                                        <w:jc w:val="center"/>
                                        <w:rPr>
                                          <w:rFonts w:hint="default" w:eastAsia="宋体"/>
                                          <w:sz w:val="18"/>
                                          <w:szCs w:val="21"/>
                                          <w:lang w:val="en-US" w:eastAsia="zh-CN"/>
                                        </w:rPr>
                                      </w:pPr>
                                      <w:r>
                                        <w:rPr>
                                          <w:rFonts w:hint="eastAsia"/>
                                          <w:sz w:val="18"/>
                                          <w:szCs w:val="21"/>
                                          <w:lang w:val="en-US" w:eastAsia="zh-CN"/>
                                        </w:rPr>
                                        <w:t>水解酸化</w:t>
                                      </w:r>
                                    </w:p>
                                  </w:txbxContent>
                                </wps:txbx>
                                <wps:bodyPr rot="0" vert="horz" wrap="square" lIns="36000" tIns="18000" rIns="36000" bIns="18000" anchor="t" anchorCtr="0" upright="1">
                                  <a:noAutofit/>
                                </wps:bodyPr>
                              </wps:wsp>
                              <wps:wsp>
                                <wps:cNvPr id="484" name="文本框 61"/>
                                <wps:cNvSpPr txBox="1">
                                  <a:spLocks noChangeArrowheads="1"/>
                                </wps:cNvSpPr>
                                <wps:spPr bwMode="auto">
                                  <a:xfrm>
                                    <a:off x="8793" y="1977401"/>
                                    <a:ext cx="1141" cy="348"/>
                                  </a:xfrm>
                                  <a:prstGeom prst="rect">
                                    <a:avLst/>
                                  </a:prstGeom>
                                  <a:solidFill>
                                    <a:srgbClr val="FFFFFF"/>
                                  </a:solidFill>
                                  <a:ln w="6350" cmpd="sng">
                                    <a:solidFill>
                                      <a:srgbClr val="000000"/>
                                    </a:solidFill>
                                    <a:round/>
                                  </a:ln>
                                  <a:effectLst/>
                                </wps:spPr>
                                <wps:txbx>
                                  <w:txbxContent>
                                    <w:p w14:paraId="45742DB0">
                                      <w:pPr>
                                        <w:spacing w:line="240" w:lineRule="exact"/>
                                        <w:ind w:left="-53" w:leftChars="-25" w:right="-53" w:rightChars="-25"/>
                                        <w:jc w:val="center"/>
                                        <w:rPr>
                                          <w:sz w:val="18"/>
                                          <w:szCs w:val="21"/>
                                        </w:rPr>
                                      </w:pPr>
                                      <w:r>
                                        <w:rPr>
                                          <w:rFonts w:hint="eastAsia"/>
                                          <w:sz w:val="18"/>
                                          <w:szCs w:val="21"/>
                                        </w:rPr>
                                        <w:t>接触氧化池</w:t>
                                      </w:r>
                                    </w:p>
                                  </w:txbxContent>
                                </wps:txbx>
                                <wps:bodyPr rot="0" vert="horz" wrap="square" lIns="36000" tIns="18000" rIns="36000" bIns="18000" anchor="t" anchorCtr="0" upright="1">
                                  <a:noAutofit/>
                                </wps:bodyPr>
                              </wps:wsp>
                              <wps:wsp>
                                <wps:cNvPr id="485" name="直接箭头连接符 58"/>
                                <wps:cNvCnPr>
                                  <a:cxnSpLocks noChangeShapeType="1"/>
                                </wps:cNvCnPr>
                                <wps:spPr bwMode="auto">
                                  <a:xfrm>
                                    <a:off x="8322" y="1977576"/>
                                    <a:ext cx="482" cy="0"/>
                                  </a:xfrm>
                                  <a:prstGeom prst="straightConnector1">
                                    <a:avLst/>
                                  </a:prstGeom>
                                  <a:noFill/>
                                  <a:ln w="6350" cmpd="sng">
                                    <a:solidFill>
                                      <a:srgbClr val="000000"/>
                                    </a:solidFill>
                                    <a:round/>
                                    <a:tailEnd type="triangle" w="med" len="med"/>
                                  </a:ln>
                                  <a:effectLst/>
                                </wps:spPr>
                                <wps:bodyPr/>
                              </wps:wsp>
                            </wpg:grpSp>
                            <wps:wsp>
                              <wps:cNvPr id="486" name="直接箭头连接符 66"/>
                              <wps:cNvCnPr>
                                <a:cxnSpLocks noChangeShapeType="1"/>
                              </wps:cNvCnPr>
                              <wps:spPr bwMode="auto">
                                <a:xfrm flipH="1">
                                  <a:off x="8831" y="621942"/>
                                  <a:ext cx="605" cy="1"/>
                                </a:xfrm>
                                <a:prstGeom prst="straightConnector1">
                                  <a:avLst/>
                                </a:prstGeom>
                                <a:noFill/>
                                <a:ln w="6350" cmpd="sng">
                                  <a:solidFill>
                                    <a:srgbClr val="000000"/>
                                  </a:solidFill>
                                  <a:round/>
                                  <a:tailEnd type="triangle" w="med" len="med"/>
                                </a:ln>
                                <a:effectLst/>
                              </wps:spPr>
                              <wps:bodyPr/>
                            </wps:wsp>
                            <wps:wsp>
                              <wps:cNvPr id="487" name="直接连接符 71"/>
                              <wps:cNvCnPr>
                                <a:cxnSpLocks noChangeShapeType="1"/>
                              </wps:cNvCnPr>
                              <wps:spPr bwMode="auto">
                                <a:xfrm>
                                  <a:off x="7856" y="619356"/>
                                  <a:ext cx="1" cy="440"/>
                                </a:xfrm>
                                <a:prstGeom prst="line">
                                  <a:avLst/>
                                </a:prstGeom>
                                <a:noFill/>
                                <a:ln w="9525" cmpd="sng">
                                  <a:solidFill>
                                    <a:srgbClr val="000000"/>
                                  </a:solidFill>
                                  <a:prstDash val="dash"/>
                                  <a:round/>
                                  <a:tailEnd type="triangle" w="med" len="med"/>
                                </a:ln>
                                <a:effectLst/>
                              </wps:spPr>
                              <wps:bodyPr/>
                            </wps:wsp>
                            <wps:wsp>
                              <wps:cNvPr id="488" name="文本框 35"/>
                              <wps:cNvSpPr txBox="1">
                                <a:spLocks noChangeArrowheads="1"/>
                              </wps:cNvSpPr>
                              <wps:spPr bwMode="auto">
                                <a:xfrm>
                                  <a:off x="7560" y="618999"/>
                                  <a:ext cx="564" cy="330"/>
                                </a:xfrm>
                                <a:prstGeom prst="rect">
                                  <a:avLst/>
                                </a:prstGeom>
                                <a:solidFill>
                                  <a:srgbClr val="FFFFFF"/>
                                </a:solidFill>
                                <a:ln w="6350" cmpd="sng">
                                  <a:solidFill>
                                    <a:srgbClr val="000000"/>
                                  </a:solidFill>
                                  <a:round/>
                                </a:ln>
                                <a:effectLst/>
                              </wps:spPr>
                              <wps:txbx>
                                <w:txbxContent>
                                  <w:p w14:paraId="4E50A6DE">
                                    <w:pPr>
                                      <w:spacing w:line="240" w:lineRule="exact"/>
                                      <w:ind w:left="-53" w:leftChars="-25" w:right="-53" w:rightChars="-25"/>
                                      <w:jc w:val="center"/>
                                      <w:rPr>
                                        <w:sz w:val="18"/>
                                        <w:szCs w:val="21"/>
                                      </w:rPr>
                                    </w:pPr>
                                    <w:r>
                                      <w:rPr>
                                        <w:rFonts w:hint="eastAsia"/>
                                        <w:sz w:val="18"/>
                                        <w:szCs w:val="21"/>
                                      </w:rPr>
                                      <w:t>PAC</w:t>
                                    </w:r>
                                  </w:p>
                                </w:txbxContent>
                              </wps:txbx>
                              <wps:bodyPr rot="0" vert="horz" wrap="square" lIns="36000" tIns="18000" rIns="36000" bIns="18000" anchor="t" anchorCtr="0" upright="1">
                                <a:noAutofit/>
                              </wps:bodyPr>
                            </wps:wsp>
                            <wps:wsp>
                              <wps:cNvPr id="5" name="文本框 478"/>
                              <wps:cNvSpPr txBox="1">
                                <a:spLocks noChangeArrowheads="1"/>
                              </wps:cNvSpPr>
                              <wps:spPr bwMode="auto">
                                <a:xfrm>
                                  <a:off x="2368" y="620326"/>
                                  <a:ext cx="1311" cy="439"/>
                                </a:xfrm>
                                <a:prstGeom prst="rect">
                                  <a:avLst/>
                                </a:prstGeom>
                                <a:noFill/>
                                <a:ln>
                                  <a:noFill/>
                                </a:ln>
                                <a:effectLst/>
                              </wps:spPr>
                              <wps:txbx>
                                <w:txbxContent>
                                  <w:p w14:paraId="2941348B">
                                    <w:pPr>
                                      <w:spacing w:line="240" w:lineRule="exact"/>
                                      <w:ind w:left="-53" w:leftChars="-25" w:right="-53" w:rightChars="-25"/>
                                      <w:jc w:val="center"/>
                                      <w:rPr>
                                        <w:rFonts w:hint="default" w:eastAsia="宋体"/>
                                        <w:sz w:val="18"/>
                                        <w:szCs w:val="18"/>
                                        <w:lang w:val="en-US" w:eastAsia="zh-CN"/>
                                      </w:rPr>
                                    </w:pPr>
                                    <w:r>
                                      <w:rPr>
                                        <w:rFonts w:hint="eastAsia"/>
                                        <w:sz w:val="18"/>
                                        <w:szCs w:val="18"/>
                                        <w:lang w:val="en-US" w:eastAsia="zh-CN"/>
                                      </w:rPr>
                                      <w:t>阳性血透区</w:t>
                                    </w:r>
                                  </w:p>
                                </w:txbxContent>
                              </wps:txbx>
                              <wps:bodyPr rot="0" vert="horz" wrap="square" lIns="91440" tIns="45720" rIns="91440" bIns="45720" anchor="t" anchorCtr="0" upright="1">
                                <a:noAutofit/>
                              </wps:bodyPr>
                            </wps:wsp>
                            <wps:wsp>
                              <wps:cNvPr id="25" name="直接箭头连接符 36"/>
                              <wps:cNvCnPr>
                                <a:cxnSpLocks noChangeShapeType="1"/>
                              </wps:cNvCnPr>
                              <wps:spPr bwMode="auto">
                                <a:xfrm>
                                  <a:off x="3531" y="620549"/>
                                  <a:ext cx="467" cy="0"/>
                                </a:xfrm>
                                <a:prstGeom prst="straightConnector1">
                                  <a:avLst/>
                                </a:prstGeom>
                                <a:noFill/>
                                <a:ln w="6350" cmpd="sng">
                                  <a:solidFill>
                                    <a:srgbClr val="000000"/>
                                  </a:solidFill>
                                  <a:round/>
                                  <a:tailEnd type="triangle" w="med" len="med"/>
                                </a:ln>
                                <a:effectLst/>
                              </wps:spPr>
                              <wps:bodyPr/>
                            </wps:wsp>
                            <wps:wsp>
                              <wps:cNvPr id="38" name="文本框 35"/>
                              <wps:cNvSpPr txBox="1">
                                <a:spLocks noChangeArrowheads="1"/>
                              </wps:cNvSpPr>
                              <wps:spPr bwMode="auto">
                                <a:xfrm>
                                  <a:off x="3966" y="620377"/>
                                  <a:ext cx="1011" cy="330"/>
                                </a:xfrm>
                                <a:prstGeom prst="rect">
                                  <a:avLst/>
                                </a:prstGeom>
                                <a:solidFill>
                                  <a:srgbClr val="FFFFFF"/>
                                </a:solidFill>
                                <a:ln w="6350" cmpd="sng">
                                  <a:solidFill>
                                    <a:srgbClr val="000000"/>
                                  </a:solidFill>
                                  <a:round/>
                                </a:ln>
                                <a:effectLst/>
                              </wps:spPr>
                              <wps:txbx>
                                <w:txbxContent>
                                  <w:p w14:paraId="7E20022E">
                                    <w:pPr>
                                      <w:spacing w:line="240" w:lineRule="exact"/>
                                      <w:ind w:left="-53" w:leftChars="-25" w:right="-53" w:rightChars="-25"/>
                                      <w:jc w:val="center"/>
                                      <w:rPr>
                                        <w:rFonts w:hint="eastAsia" w:eastAsia="宋体"/>
                                        <w:sz w:val="18"/>
                                        <w:szCs w:val="21"/>
                                        <w:lang w:val="en-US" w:eastAsia="zh-CN"/>
                                      </w:rPr>
                                    </w:pPr>
                                    <w:r>
                                      <w:rPr>
                                        <w:rFonts w:hint="eastAsia"/>
                                        <w:sz w:val="18"/>
                                        <w:szCs w:val="21"/>
                                      </w:rPr>
                                      <w:t>预</w:t>
                                    </w:r>
                                    <w:r>
                                      <w:rPr>
                                        <w:rFonts w:hint="eastAsia"/>
                                        <w:sz w:val="18"/>
                                        <w:szCs w:val="21"/>
                                        <w:lang w:val="en-US" w:eastAsia="zh-CN"/>
                                      </w:rPr>
                                      <w:t>消毒</w:t>
                                    </w:r>
                                  </w:p>
                                </w:txbxContent>
                              </wps:txbx>
                              <wps:bodyPr rot="0" vert="horz" wrap="square" lIns="36000" tIns="18000" rIns="36000" bIns="18000" anchor="t" anchorCtr="0" upright="1">
                                <a:noAutofit/>
                              </wps:bodyPr>
                            </wps:wsp>
                            <wps:wsp>
                              <wps:cNvPr id="40" name="直接连接符 138"/>
                              <wps:cNvCnPr>
                                <a:cxnSpLocks noChangeShapeType="1"/>
                              </wps:cNvCnPr>
                              <wps:spPr bwMode="auto">
                                <a:xfrm>
                                  <a:off x="4432" y="620059"/>
                                  <a:ext cx="7" cy="340"/>
                                </a:xfrm>
                                <a:prstGeom prst="line">
                                  <a:avLst/>
                                </a:prstGeom>
                                <a:noFill/>
                                <a:ln w="9525" cmpd="sng">
                                  <a:solidFill>
                                    <a:srgbClr val="000000"/>
                                  </a:solidFill>
                                  <a:round/>
                                  <a:headEnd type="triangle"/>
                                  <a:tailEnd type="none" w="med" len="med"/>
                                </a:ln>
                                <a:effectLst/>
                              </wps:spPr>
                              <wps:bodyPr/>
                            </wps:wsp>
                          </wpg:wgp>
                        </a:graphicData>
                      </a:graphic>
                    </wp:anchor>
                  </w:drawing>
                </mc:Choice>
                <mc:Fallback>
                  <w:pict>
                    <v:group id="_x0000_s1026" o:spid="_x0000_s1026" o:spt="203" style="position:absolute;left:0pt;margin-left:-3pt;margin-top:4.4pt;height:187.5pt;width:375.4pt;z-index:251685888;mso-width-relative:page;mso-height-relative:page;" coordorigin="2228,618952" coordsize="7938,3996" o:gfxdata="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">
                      <o:lock v:ext="edit" aspectratio="f"/>
                      <v:shape id="文本框 478" o:spid="_x0000_s1026" o:spt="202" type="#_x0000_t202" style="position:absolute;left:2228;top:618952;height:439;width:1311;" filled="f" stroked="f" coordsize="21600,21600" o:gfxdata="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YCp+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E28416B">
                              <w:pPr>
                                <w:spacing w:line="240" w:lineRule="exact"/>
                                <w:ind w:left="-53" w:leftChars="-25" w:right="-53" w:rightChars="-25"/>
                                <w:jc w:val="center"/>
                                <w:rPr>
                                  <w:sz w:val="18"/>
                                  <w:szCs w:val="18"/>
                                </w:rPr>
                              </w:pPr>
                              <w:r>
                                <w:rPr>
                                  <w:rFonts w:hint="eastAsia"/>
                                  <w:sz w:val="18"/>
                                  <w:szCs w:val="18"/>
                                </w:rPr>
                                <w:t>检验室废水</w:t>
                              </w:r>
                            </w:p>
                          </w:txbxContent>
                        </v:textbox>
                      </v:shape>
                      <v:line id="直接连接符 464" o:spid="_x0000_s1026" o:spt="20" style="position:absolute;left:5667;top:620111;height:879;width:0;" filled="f" stroked="t" coordsize="21600,21600" o:gfxdata="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WI7+/&#10;AAAA3AAAAA8AAAAAAAAAAQAgAAAAIgAAAGRycy9kb3ducmV2LnhtbFBLAQIUABQAAAAIAIdO4kAz&#10;LwWeOwAAADkAAAAQAAAAAAAAAAEAIAAAAA4BAABkcnMvc2hhcGV4bWwueG1sUEsFBgAAAAAGAAYA&#10;WwEAALgDAAAAAA==&#10;">
                        <v:fill on="f" focussize="0,0"/>
                        <v:stroke color="#000000" joinstyle="round" dashstyle="dash" endarrow="block"/>
                        <v:imagedata o:title=""/>
                        <o:lock v:ext="edit" aspectratio="f"/>
                      </v:line>
                      <v:shape id="直接箭头连接符 471" o:spid="_x0000_s1026" o:spt="32" type="#_x0000_t32" style="position:absolute;left:4500;top:621160;height:0;width:550;" filled="f" stroked="t" coordsize="21600,21600" o:gfxdata="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HBHK/&#10;AAAA3AAAAA8AAAAAAAAAAQAgAAAAIgAAAGRycy9kb3ducmV2LnhtbFBLAQIUABQAAAAIAIdO4kAz&#10;LwWeOwAAADkAAAAQAAAAAAAAAAEAIAAAAA4BAABkcnMvc2hhcGV4bWwueG1sUEsFBgAAAAAGAAYA&#10;WwEAALgDAAAAAA==&#10;">
                        <v:fill on="f" focussize="0,0"/>
                        <v:stroke color="#000000" joinstyle="round" dashstyle="dash" startarrow="block"/>
                        <v:imagedata o:title=""/>
                        <o:lock v:ext="edit" aspectratio="f"/>
                      </v:shape>
                      <v:shape id="文本框 472" o:spid="_x0000_s1026" o:spt="202" type="#_x0000_t202" style="position:absolute;left:2394;top:620835;height:661;width:2183;" filled="f" stroked="f" coordsize="21600,21600" o:gfxdata="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h57t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2AB08A21">
                              <w:pPr>
                                <w:spacing w:line="240" w:lineRule="exact"/>
                                <w:ind w:left="-53" w:leftChars="-25" w:right="-53" w:rightChars="-25"/>
                                <w:jc w:val="center"/>
                                <w:rPr>
                                  <w:sz w:val="18"/>
                                  <w:szCs w:val="18"/>
                                </w:rPr>
                              </w:pPr>
                              <w:r>
                                <w:rPr>
                                  <w:rFonts w:hint="eastAsia"/>
                                  <w:sz w:val="18"/>
                                  <w:szCs w:val="18"/>
                                </w:rPr>
                                <w:t>定期清掏，采用生石灰消杀后委托有资质单位处理理</w:t>
                              </w:r>
                            </w:p>
                          </w:txbxContent>
                        </v:textbox>
                      </v:shape>
                      <v:shape id="文本框 476" o:spid="_x0000_s1026" o:spt="202" type="#_x0000_t202" style="position:absolute;left:6481;top:621740;height:385;width:1311;" filled="f" stroked="f" coordsize="21600,21600" o:gfxdata="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0f3N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48EEE83">
                              <w:pPr>
                                <w:spacing w:line="240" w:lineRule="exact"/>
                                <w:ind w:left="-53" w:leftChars="-25" w:right="-53" w:rightChars="-25"/>
                                <w:jc w:val="center"/>
                                <w:rPr>
                                  <w:sz w:val="18"/>
                                  <w:szCs w:val="18"/>
                                </w:rPr>
                              </w:pPr>
                              <w:r>
                                <w:rPr>
                                  <w:rFonts w:hint="eastAsia"/>
                                  <w:sz w:val="18"/>
                                  <w:szCs w:val="18"/>
                                </w:rPr>
                                <w:t>市政污水管网</w:t>
                              </w:r>
                            </w:p>
                          </w:txbxContent>
                        </v:textbox>
                      </v:shape>
                      <v:line id="直接连接符 138" o:spid="_x0000_s1026" o:spt="20" style="position:absolute;left:4441;top:619363;height:397;width:0;" filled="f" stroked="t" coordsize="21600,21600" o:gfxdata="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uvo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文本框 35" o:spid="_x0000_s1026" o:spt="202" type="#_x0000_t202" style="position:absolute;left:3807;top:619013;height:330;width:1261;" fillcolor="#FFFFFF" filled="t" stroked="t" coordsize="21600,21600" o:gfxdata="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nbVpQ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inset="1mm,0.5mm,1mm,0.5mm">
                          <w:txbxContent>
                            <w:p w14:paraId="15BF79C1">
                              <w:pPr>
                                <w:spacing w:line="240" w:lineRule="exact"/>
                                <w:ind w:left="-53" w:leftChars="-25" w:right="-53" w:rightChars="-25"/>
                                <w:jc w:val="center"/>
                                <w:rPr>
                                  <w:sz w:val="18"/>
                                  <w:szCs w:val="21"/>
                                </w:rPr>
                              </w:pPr>
                              <w:r>
                                <w:rPr>
                                  <w:rFonts w:hint="eastAsia"/>
                                  <w:sz w:val="18"/>
                                  <w:szCs w:val="21"/>
                                </w:rPr>
                                <w:t>实验室预处理</w:t>
                              </w:r>
                            </w:p>
                          </w:txbxContent>
                        </v:textbox>
                      </v:shape>
                      <v:shape id="直接箭头连接符 36" o:spid="_x0000_s1026" o:spt="32" type="#_x0000_t32" style="position:absolute;left:3352;top:619168;height:0;width:467;" filled="f" stroked="t" coordsize="21600,21600" o:gfxdata="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c+Q7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line id="直接连接符 60" o:spid="_x0000_s1026" o:spt="20" style="position:absolute;left:9888;top:620131;height:1672;width:0;" filled="f" stroked="t" coordsize="21600,21600" o:gfxdata="UEsDBAoAAAAAAIdO4kAAAAAAAAAAAAAAAAAEAAAAZHJzL1BLAwQUAAAACACHTuJARFkdFb0AAADc&#10;AAAADwAAAGRycy9kb3ducmV2LnhtbEVPS2vCQBC+C/6HZQRvukkp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R0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63" o:spid="_x0000_s1026" o:spt="202" type="#_x0000_t202" style="position:absolute;left:9439;top:621796;height:330;width:727;" fillcolor="#FFFFFF" filled="t" stroked="t" coordsize="21600,21600" o:gfxdata="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hMIk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inset="1mm,0.5mm,1mm,0.5mm">
                          <w:txbxContent>
                            <w:p w14:paraId="49242BBB">
                              <w:pPr>
                                <w:spacing w:line="240" w:lineRule="exact"/>
                                <w:ind w:left="-53" w:leftChars="-25" w:right="-53" w:rightChars="-25"/>
                                <w:jc w:val="center"/>
                                <w:rPr>
                                  <w:sz w:val="18"/>
                                  <w:szCs w:val="21"/>
                                </w:rPr>
                              </w:pPr>
                              <w:r>
                                <w:rPr>
                                  <w:rFonts w:hint="eastAsia"/>
                                  <w:sz w:val="18"/>
                                  <w:szCs w:val="21"/>
                                  <w:lang w:val="en-US" w:eastAsia="zh-CN"/>
                                </w:rPr>
                                <w:t>沉淀池</w:t>
                              </w:r>
                            </w:p>
                          </w:txbxContent>
                        </v:textbox>
                      </v:shape>
                      <v:shape id="文本框 65" o:spid="_x0000_s1026" o:spt="202" type="#_x0000_t202" style="position:absolute;left:8194;top:621776;height:330;width:635;" fillcolor="#FFFFFF" filled="t" stroked="t" coordsize="21600,21600" o:gfxdata="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YVlxT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inset="1mm,0.5mm,1mm,0.5mm">
                          <w:txbxContent>
                            <w:p w14:paraId="7BA6BE30">
                              <w:pPr>
                                <w:spacing w:line="240" w:lineRule="exact"/>
                                <w:ind w:left="-53" w:leftChars="-25" w:right="-53" w:rightChars="-25"/>
                                <w:jc w:val="center"/>
                                <w:rPr>
                                  <w:sz w:val="18"/>
                                  <w:szCs w:val="21"/>
                                </w:rPr>
                              </w:pPr>
                              <w:r>
                                <w:rPr>
                                  <w:rFonts w:hint="eastAsia"/>
                                  <w:sz w:val="18"/>
                                  <w:szCs w:val="21"/>
                                </w:rPr>
                                <w:t>消毒池</w:t>
                              </w:r>
                            </w:p>
                          </w:txbxContent>
                        </v:textbox>
                      </v:shape>
                      <v:line id="直接连接符 71" o:spid="_x0000_s1026" o:spt="20" style="position:absolute;left:7869;top:620156;height:986;width:0;" filled="f" stroked="t" coordsize="21600,21600" o:gfxdata="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66QK/&#10;AAAA3AAAAA8AAAAAAAAAAQAgAAAAIgAAAGRycy9kb3ducmV2LnhtbFBLAQIUABQAAAAIAIdO4kAz&#10;LwWeOwAAADkAAAAQAAAAAAAAAAEAIAAAAA4BAABkcnMvc2hhcGV4bWwueG1sUEsFBgAAAAAGAAYA&#10;WwEAALgDAAAAAA==&#10;">
                        <v:fill on="f" focussize="0,0"/>
                        <v:stroke color="#000000" joinstyle="round" dashstyle="dash" endarrow="block"/>
                        <v:imagedata o:title=""/>
                        <o:lock v:ext="edit" aspectratio="f"/>
                      </v:line>
                      <v:shape id="文本框 70" o:spid="_x0000_s1026" o:spt="202" type="#_x0000_t202" style="position:absolute;left:8112;top:622584;height:364;width:893;" fillcolor="#FFFFFF" filled="t" stroked="t" coordsize="21600,21600" o:gfxdata="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R2JvL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inset="0.5mm,0.3mm,0.5mm,1.27mm">
                          <w:txbxContent>
                            <w:p w14:paraId="36D7C73B">
                              <w:pPr>
                                <w:spacing w:line="240" w:lineRule="exact"/>
                                <w:ind w:left="-53" w:leftChars="-25" w:right="-53" w:rightChars="-25"/>
                                <w:jc w:val="center"/>
                                <w:rPr>
                                  <w:rFonts w:hint="eastAsia" w:eastAsia="宋体"/>
                                  <w:lang w:val="en-US" w:eastAsia="zh-CN"/>
                                </w:rPr>
                              </w:pPr>
                              <w:r>
                                <w:rPr>
                                  <w:rFonts w:hint="eastAsia"/>
                                  <w:sz w:val="18"/>
                                  <w:szCs w:val="21"/>
                                  <w:lang w:val="en-US" w:eastAsia="zh-CN"/>
                                </w:rPr>
                                <w:t>氯片</w:t>
                              </w:r>
                            </w:p>
                          </w:txbxContent>
                        </v:textbox>
                      </v:shape>
                      <v:group id="组合 75" o:spid="_x0000_s1026" o:spt="203" style="position:absolute;left:6620;top:621174;flip:y;height:618;width:3091;" coordorigin="5162,492520" coordsize="895,606" o:gfxdata="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2SPUvAAAANwAAAAPAAAAAAAAAAEAIAAAACIAAABkcnMvZG93bnJldi54bWxQ&#10;SwECFAAUAAAACACHTuJAMy8FnjsAAAA5AAAAFQAAAAAAAAABACAAAAALAQAAZHJzL2dyb3Vwc2hh&#10;cGV4bWwueG1sUEsFBgAAAAAGAAYAYAEAAMgDAAAAAA==&#10;">
                        <o:lock v:ext="edit" aspectratio="f"/>
                        <v:line id="直接连接符 465" o:spid="_x0000_s1026" o:spt="20" style="position:absolute;left:6057;top:492520;height:600;width:0;" filled="f" stroked="t" coordsize="21600,21600" o:gfxdata="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Urn&#10;q8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shape id="直接箭头连接符 67" o:spid="_x0000_s1026" o:spt="32" type="#_x0000_t32" style="position:absolute;left:5162;top:493120;flip:y;height:6;width:895;" filled="f" stroked="t" coordsize="21600,21600" o:gfxdata="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Bv48vQAA&#10;ANwAAAAPAAAAAAAAAAEAIAAAACIAAABkcnMvZG93bnJldi54bWxQSwECFAAUAAAACACHTuJAMy8F&#10;njsAAAA5AAAAEAAAAAAAAAABACAAAAAMAQAAZHJzL3NoYXBleG1sLnhtbFBLBQYAAAAABgAGAFsB&#10;AAC2AwAAAAA=&#10;">
                          <v:fill on="f" focussize="0,0"/>
                          <v:stroke color="#000000" joinstyle="round" dashstyle="dash" startarrow="block"/>
                          <v:imagedata o:title=""/>
                          <o:lock v:ext="edit" aspectratio="f"/>
                        </v:shape>
                      </v:group>
                      <v:line id="直接连接符 77" o:spid="_x0000_s1026" o:spt="20" style="position:absolute;left:8497;top:622118;flip:x y;height:431;width:1;" filled="f" stroked="t" coordsize="21600,21600" o:gfxdata="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9SUugAAANw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shape id="文本框 73" o:spid="_x0000_s1026" o:spt="202" type="#_x0000_t202" style="position:absolute;left:5047;top:620989;height:359;width:1580;" fillcolor="#FFFFFF" filled="t" stroked="t" coordsize="21600,21600" o:gfxdata="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cB3a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2.54mm,1mm,2.54mm,1mm">
                          <w:txbxContent>
                            <w:p w14:paraId="6BABF91B">
                              <w:pPr>
                                <w:spacing w:line="240" w:lineRule="exact"/>
                                <w:ind w:left="-53" w:leftChars="-25" w:right="-53" w:rightChars="-25"/>
                                <w:jc w:val="center"/>
                                <w:rPr>
                                  <w:sz w:val="18"/>
                                  <w:szCs w:val="18"/>
                                </w:rPr>
                              </w:pPr>
                              <w:r>
                                <w:rPr>
                                  <w:rFonts w:hint="eastAsia"/>
                                  <w:sz w:val="18"/>
                                  <w:szCs w:val="18"/>
                                </w:rPr>
                                <w:t>污泥浓缩、脱水</w:t>
                              </w:r>
                            </w:p>
                          </w:txbxContent>
                        </v:textbox>
                      </v:shape>
                      <v:shape id="文本框 78" o:spid="_x0000_s1026" o:spt="202" type="#_x0000_t202" style="position:absolute;left:8804;top:621242;height:439;width:1021;" filled="f" stroked="f" coordsize="21600,21600" o:gfxdata="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0bN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403440E">
                              <w:pPr>
                                <w:spacing w:line="240" w:lineRule="exact"/>
                                <w:ind w:left="-53" w:leftChars="-25" w:right="-53" w:rightChars="-25"/>
                                <w:jc w:val="center"/>
                                <w:rPr>
                                  <w:sz w:val="18"/>
                                  <w:szCs w:val="18"/>
                                </w:rPr>
                              </w:pPr>
                              <w:r>
                                <w:rPr>
                                  <w:rFonts w:hint="eastAsia"/>
                                  <w:sz w:val="18"/>
                                  <w:szCs w:val="18"/>
                                </w:rPr>
                                <w:t>剩余污泥</w:t>
                              </w:r>
                            </w:p>
                          </w:txbxContent>
                        </v:textbox>
                      </v:shape>
                      <v:shape id="文本框 81" o:spid="_x0000_s1026" o:spt="202" type="#_x0000_t202" style="position:absolute;left:5562;top:620170;height:439;width:637;" filled="f" stroked="f" coordsize="21600,21600" o:gfxdata="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G+r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350DC1F">
                              <w:pPr>
                                <w:spacing w:line="240" w:lineRule="exact"/>
                                <w:ind w:left="-53" w:leftChars="-25" w:right="-53" w:rightChars="-25"/>
                                <w:jc w:val="center"/>
                                <w:rPr>
                                  <w:sz w:val="18"/>
                                  <w:szCs w:val="18"/>
                                </w:rPr>
                              </w:pPr>
                              <w:r>
                                <w:rPr>
                                  <w:rFonts w:hint="eastAsia"/>
                                  <w:sz w:val="18"/>
                                  <w:szCs w:val="18"/>
                                </w:rPr>
                                <w:t>栅渣</w:t>
                              </w:r>
                            </w:p>
                          </w:txbxContent>
                        </v:textbox>
                      </v:shape>
                      <v:shape id="文本框 82" o:spid="_x0000_s1026" o:spt="202" type="#_x0000_t202" style="position:absolute;left:7815;top:620190;height:710;width:603;" filled="f" stroked="f" coordsize="21600,21600" o:gfxdata="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DINu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08694F3C">
                              <w:pPr>
                                <w:spacing w:line="240" w:lineRule="exact"/>
                                <w:ind w:left="-53" w:leftChars="-25" w:right="-53" w:rightChars="-25"/>
                                <w:jc w:val="center"/>
                                <w:rPr>
                                  <w:sz w:val="18"/>
                                  <w:szCs w:val="18"/>
                                </w:rPr>
                              </w:pPr>
                              <w:r>
                                <w:rPr>
                                  <w:rFonts w:hint="eastAsia"/>
                                  <w:sz w:val="18"/>
                                  <w:szCs w:val="18"/>
                                </w:rPr>
                                <w:t>污泥</w:t>
                              </w:r>
                            </w:p>
                          </w:txbxContent>
                        </v:textbox>
                      </v:shape>
                      <v:shape id="直接箭头连接符 66" o:spid="_x0000_s1026" o:spt="32" type="#_x0000_t32" style="position:absolute;left:7635;top:621933;flip:x y;height:1;width:562;" filled="f" stroked="t" coordsize="21600,21600" o:gfxdata="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nOdb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group id="组合 1036" o:spid="_x0000_s1026" o:spt="203" style="position:absolute;left:2317;top:619685;height:669;width:7797;" coordorigin="1990,1977297" coordsize="7944,705" o:gfxdata="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7KNkvAAAANwAAAAPAAAAAAAAAAEAIAAAACIAAABkcnMvZG93bnJldi54bWxQ&#10;SwECFAAUAAAACACHTuJAMy8FnjsAAAA5AAAAFQAAAAAAAAABACAAAAALAQAAZHJzL2dyb3Vwc2hh&#10;cGV4bWwueG1sUEsFBgAAAAAGAAYAYAEAAMgDAAAAAA==&#10;">
                        <o:lock v:ext="edit" aspectratio="f"/>
                        <v:shape id="文本框 449" o:spid="_x0000_s1026" o:spt="202" type="#_x0000_t202" style="position:absolute;left:3654;top:1977355;height:348;width:1014;" fillcolor="#FFFFFF" filled="t" stroked="t" coordsize="21600,21600" o:gfxdata="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cWHzK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inset="1mm,0.5mm,1mm,0.5mm">
                            <w:txbxContent>
                              <w:p w14:paraId="265E872A">
                                <w:pPr>
                                  <w:spacing w:line="240" w:lineRule="exact"/>
                                  <w:ind w:left="-53" w:leftChars="-25" w:right="-53" w:rightChars="-25"/>
                                  <w:jc w:val="center"/>
                                  <w:rPr>
                                    <w:rFonts w:hint="eastAsia" w:eastAsia="宋体"/>
                                    <w:sz w:val="18"/>
                                    <w:szCs w:val="21"/>
                                    <w:lang w:eastAsia="zh-CN"/>
                                  </w:rPr>
                                </w:pPr>
                                <w:r>
                                  <w:rPr>
                                    <w:rFonts w:hint="eastAsia"/>
                                    <w:sz w:val="18"/>
                                    <w:szCs w:val="21"/>
                                    <w:lang w:val="en-US" w:eastAsia="zh-CN"/>
                                  </w:rPr>
                                  <w:t>化粪池</w:t>
                                </w:r>
                              </w:p>
                            </w:txbxContent>
                          </v:textbox>
                        </v:shape>
                        <v:shape id="文本框 479" o:spid="_x0000_s1026" o:spt="202" type="#_x0000_t202" style="position:absolute;left:1990;top:1977297;height:705;width:1314;" filled="f" stroked="f" coordsize="21600,21600" o:gfxdata="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sXM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DB9B121">
                                <w:pPr>
                                  <w:spacing w:line="240" w:lineRule="exact"/>
                                  <w:ind w:right="-53" w:rightChars="-25"/>
                                  <w:jc w:val="center"/>
                                  <w:rPr>
                                    <w:sz w:val="18"/>
                                    <w:szCs w:val="18"/>
                                  </w:rPr>
                                </w:pPr>
                                <w:r>
                                  <w:rPr>
                                    <w:rFonts w:hint="eastAsia"/>
                                    <w:sz w:val="18"/>
                                    <w:szCs w:val="18"/>
                                  </w:rPr>
                                  <w:t>医疗废水</w:t>
                                </w:r>
                              </w:p>
                              <w:p w14:paraId="6AF00E55">
                                <w:pPr>
                                  <w:spacing w:line="240" w:lineRule="exact"/>
                                  <w:ind w:left="-53" w:leftChars="-25" w:right="-53" w:rightChars="-25"/>
                                  <w:jc w:val="center"/>
                                  <w:rPr>
                                    <w:sz w:val="18"/>
                                    <w:szCs w:val="18"/>
                                  </w:rPr>
                                </w:pPr>
                                <w:r>
                                  <w:rPr>
                                    <w:rFonts w:hint="eastAsia"/>
                                    <w:sz w:val="18"/>
                                    <w:szCs w:val="18"/>
                                  </w:rPr>
                                  <w:t>生活污水</w:t>
                                </w:r>
                              </w:p>
                            </w:txbxContent>
                          </v:textbox>
                        </v:shape>
                        <v:shape id="直接箭头连接符 50" o:spid="_x0000_s1026" o:spt="32" type="#_x0000_t32" style="position:absolute;left:3185;top:1977530;height:0;width:484;" filled="f" stroked="t" coordsize="21600,21600" o:gfxdata="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UPvU7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shape id="文本框 40" o:spid="_x0000_s1026" o:spt="202" type="#_x0000_t202" style="position:absolute;left:5141;top:1977378;height:348;width:492;" fillcolor="#FFFFFF" filled="t" stroked="t" coordsize="21600,21600" o:gfxdata="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YRm7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inset="1mm,0.5mm,1mm,0.5mm">
                            <w:txbxContent>
                              <w:p w14:paraId="2FB8B15D">
                                <w:pPr>
                                  <w:spacing w:line="240" w:lineRule="exact"/>
                                  <w:ind w:left="-53" w:leftChars="-25" w:right="-53" w:rightChars="-25"/>
                                  <w:jc w:val="center"/>
                                  <w:rPr>
                                    <w:sz w:val="18"/>
                                    <w:szCs w:val="21"/>
                                  </w:rPr>
                                </w:pPr>
                                <w:r>
                                  <w:rPr>
                                    <w:rFonts w:hint="eastAsia"/>
                                    <w:sz w:val="18"/>
                                    <w:szCs w:val="21"/>
                                  </w:rPr>
                                  <w:t>格栅</w:t>
                                </w:r>
                              </w:p>
                            </w:txbxContent>
                          </v:textbox>
                        </v:shape>
                        <v:shape id="直接箭头连接符 38" o:spid="_x0000_s1026" o:spt="32" type="#_x0000_t32" style="position:absolute;left:4673;top:1977545;height:0;width:482;" filled="f" stroked="t" coordsize="21600,21600" o:gfxdata="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1iL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shape id="直接箭头连接符 41" o:spid="_x0000_s1026" o:spt="32" type="#_x0000_t32" style="position:absolute;left:5627;top:1977546;height:0;width:400;" filled="f" stroked="t" coordsize="21600,21600" o:gfxdata="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RflSr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v:shape id="文本框 55" o:spid="_x0000_s1026" o:spt="202" type="#_x0000_t202" style="position:absolute;left:5979;top:1977399;height:349;width:655;" fillcolor="#FFFFFF" filled="t" stroked="t" coordsize="21600,21600" o:gfxdata="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rdgVm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inset="1mm,0.5mm,1mm,0.5mm">
                            <w:txbxContent>
                              <w:p w14:paraId="730831F6">
                                <w:pPr>
                                  <w:spacing w:line="240" w:lineRule="exact"/>
                                  <w:ind w:left="-53" w:leftChars="-25" w:right="-53" w:rightChars="-25"/>
                                  <w:jc w:val="center"/>
                                  <w:rPr>
                                    <w:sz w:val="18"/>
                                    <w:szCs w:val="21"/>
                                  </w:rPr>
                                </w:pPr>
                                <w:r>
                                  <w:rPr>
                                    <w:rFonts w:hint="eastAsia"/>
                                    <w:sz w:val="18"/>
                                    <w:szCs w:val="21"/>
                                  </w:rPr>
                                  <w:t>调节池</w:t>
                                </w:r>
                              </w:p>
                            </w:txbxContent>
                          </v:textbox>
                        </v:shape>
                        <v:shape id="直接箭头连接符 58" o:spid="_x0000_s1026" o:spt="32" type="#_x0000_t32" style="position:absolute;left:6656;top:1977576;height:0;width:462;" filled="f" stroked="t" coordsize="21600,21600" o:gfxdata="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onep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shape id="文本框 59" o:spid="_x0000_s1026" o:spt="202" type="#_x0000_t202" style="position:absolute;left:7084;top:1977409;height:348;width:1241;" fillcolor="#FFFFFF" filled="t" stroked="t" coordsize="21600,21600" o:gfxdata="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DurW8AAAA&#10;3A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inset="1mm,0.5mm,1mm,0.5mm">
                            <w:txbxContent>
                              <w:p w14:paraId="6F0E9F77">
                                <w:pPr>
                                  <w:spacing w:line="240" w:lineRule="exact"/>
                                  <w:ind w:left="-53" w:leftChars="-25" w:right="-53" w:rightChars="-25"/>
                                  <w:jc w:val="center"/>
                                  <w:rPr>
                                    <w:rFonts w:hint="default" w:eastAsia="宋体"/>
                                    <w:sz w:val="18"/>
                                    <w:szCs w:val="21"/>
                                    <w:lang w:val="en-US" w:eastAsia="zh-CN"/>
                                  </w:rPr>
                                </w:pPr>
                                <w:r>
                                  <w:rPr>
                                    <w:rFonts w:hint="eastAsia"/>
                                    <w:sz w:val="18"/>
                                    <w:szCs w:val="21"/>
                                    <w:lang w:val="en-US" w:eastAsia="zh-CN"/>
                                  </w:rPr>
                                  <w:t>水解酸化</w:t>
                                </w:r>
                              </w:p>
                            </w:txbxContent>
                          </v:textbox>
                        </v:shape>
                        <v:shape id="文本框 61" o:spid="_x0000_s1026" o:spt="202" type="#_x0000_t202" style="position:absolute;left:8793;top:1977401;height:348;width:1141;" fillcolor="#FFFFFF" filled="t" stroked="t" coordsize="21600,21600" o:gfxdata="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qqIsG5AAAA3AAA&#10;AA8AAAAAAAAAAQAgAAAAIgAAAGRycy9kb3ducmV2LnhtbFBLAQIUABQAAAAIAIdO4kAzLwWeOwAA&#10;ADkAAAAQAAAAAAAAAAEAIAAAAAgBAABkcnMvc2hhcGV4bWwueG1sUEsFBgAAAAAGAAYAWwEAALID&#10;AAAAAA==&#10;">
                          <v:fill on="t" focussize="0,0"/>
                          <v:stroke weight="0.5pt" color="#000000" joinstyle="round"/>
                          <v:imagedata o:title=""/>
                          <o:lock v:ext="edit" aspectratio="f"/>
                          <v:textbox inset="1mm,0.5mm,1mm,0.5mm">
                            <w:txbxContent>
                              <w:p w14:paraId="45742DB0">
                                <w:pPr>
                                  <w:spacing w:line="240" w:lineRule="exact"/>
                                  <w:ind w:left="-53" w:leftChars="-25" w:right="-53" w:rightChars="-25"/>
                                  <w:jc w:val="center"/>
                                  <w:rPr>
                                    <w:sz w:val="18"/>
                                    <w:szCs w:val="21"/>
                                  </w:rPr>
                                </w:pPr>
                                <w:r>
                                  <w:rPr>
                                    <w:rFonts w:hint="eastAsia"/>
                                    <w:sz w:val="18"/>
                                    <w:szCs w:val="21"/>
                                  </w:rPr>
                                  <w:t>接触氧化池</w:t>
                                </w:r>
                              </w:p>
                            </w:txbxContent>
                          </v:textbox>
                        </v:shape>
                        <v:shape id="直接箭头连接符 58" o:spid="_x0000_s1026" o:spt="32" type="#_x0000_t32" style="position:absolute;left:8322;top:1977576;height:0;width:482;" filled="f" stroked="t" coordsize="21600,21600" o:gfxdata="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BG0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shape>
                      </v:group>
                      <v:shape id="直接箭头连接符 66" o:spid="_x0000_s1026" o:spt="32" type="#_x0000_t32" style="position:absolute;left:8831;top:621942;flip:x;height:1;width:605;" filled="f" stroked="t" coordsize="21600,21600" o:gfxdata="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kLSy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shape>
                      <v:line id="直接连接符 71" o:spid="_x0000_s1026" o:spt="20" style="position:absolute;left:7856;top:619356;height:440;width:1;" filled="f" stroked="t" coordsize="21600,21600" o:gfxdata="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his&#10;fMEAAADcAAAADwAAAAAAAAABACAAAAAiAAAAZHJzL2Rvd25yZXYueG1sUEsBAhQAFAAAAAgAh07i&#10;QDMvBZ47AAAAOQAAABAAAAAAAAAAAQAgAAAAEAEAAGRycy9zaGFwZXhtbC54bWxQSwUGAAAAAAYA&#10;BgBbAQAAugMAAAAA&#10;">
                        <v:fill on="f" focussize="0,0"/>
                        <v:stroke color="#000000" joinstyle="round" dashstyle="dash" endarrow="block"/>
                        <v:imagedata o:title=""/>
                        <o:lock v:ext="edit" aspectratio="f"/>
                      </v:line>
                      <v:shape id="文本框 35" o:spid="_x0000_s1026" o:spt="202" type="#_x0000_t202" style="position:absolute;left:7560;top:618999;height:330;width:564;" fillcolor="#FFFFFF" filled="t" stroked="t" coordsize="21600,21600" o:gfxdata="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vnKMS2AAAA3A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inset="1mm,0.5mm,1mm,0.5mm">
                          <w:txbxContent>
                            <w:p w14:paraId="4E50A6DE">
                              <w:pPr>
                                <w:spacing w:line="240" w:lineRule="exact"/>
                                <w:ind w:left="-53" w:leftChars="-25" w:right="-53" w:rightChars="-25"/>
                                <w:jc w:val="center"/>
                                <w:rPr>
                                  <w:sz w:val="18"/>
                                  <w:szCs w:val="21"/>
                                </w:rPr>
                              </w:pPr>
                              <w:r>
                                <w:rPr>
                                  <w:rFonts w:hint="eastAsia"/>
                                  <w:sz w:val="18"/>
                                  <w:szCs w:val="21"/>
                                </w:rPr>
                                <w:t>PAC</w:t>
                              </w:r>
                            </w:p>
                          </w:txbxContent>
                        </v:textbox>
                      </v:shape>
                      <v:shape id="文本框 478" o:spid="_x0000_s1026" o:spt="202" type="#_x0000_t202" style="position:absolute;left:2368;top:620326;height:439;width:1311;" filled="f" stroked="f" coordsize="21600,21600" o:gfxdata="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w+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941348B">
                              <w:pPr>
                                <w:spacing w:line="240" w:lineRule="exact"/>
                                <w:ind w:left="-53" w:leftChars="-25" w:right="-53" w:rightChars="-25"/>
                                <w:jc w:val="center"/>
                                <w:rPr>
                                  <w:rFonts w:hint="default" w:eastAsia="宋体"/>
                                  <w:sz w:val="18"/>
                                  <w:szCs w:val="18"/>
                                  <w:lang w:val="en-US" w:eastAsia="zh-CN"/>
                                </w:rPr>
                              </w:pPr>
                              <w:r>
                                <w:rPr>
                                  <w:rFonts w:hint="eastAsia"/>
                                  <w:sz w:val="18"/>
                                  <w:szCs w:val="18"/>
                                  <w:lang w:val="en-US" w:eastAsia="zh-CN"/>
                                </w:rPr>
                                <w:t>阳性血透区</w:t>
                              </w:r>
                            </w:p>
                          </w:txbxContent>
                        </v:textbox>
                      </v:shape>
                      <v:shape id="直接箭头连接符 36" o:spid="_x0000_s1026" o:spt="32" type="#_x0000_t32" style="position:absolute;left:3531;top:620549;height:0;width:467;" filled="f" stroked="t" coordsize="21600,21600" o:gfxdata="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JQ3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shape id="文本框 35" o:spid="_x0000_s1026" o:spt="202" type="#_x0000_t202" style="position:absolute;left:3966;top:620377;height:330;width:1011;" fillcolor="#FFFFFF" filled="t" stroked="t" coordsize="21600,21600" o:gfxdata="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I2cb22AAAA2wAAAA8A&#10;AAAAAAAAAQAgAAAAIgAAAGRycy9kb3ducmV2LnhtbFBLAQIUABQAAAAIAIdO4kAzLwWeOwAAADkA&#10;AAAQAAAAAAAAAAEAIAAAAAUBAABkcnMvc2hhcGV4bWwueG1sUEsFBgAAAAAGAAYAWwEAAK8DAAAA&#10;AA==&#10;">
                        <v:fill on="t" focussize="0,0"/>
                        <v:stroke weight="0.5pt" color="#000000" joinstyle="round"/>
                        <v:imagedata o:title=""/>
                        <o:lock v:ext="edit" aspectratio="f"/>
                        <v:textbox inset="1mm,0.5mm,1mm,0.5mm">
                          <w:txbxContent>
                            <w:p w14:paraId="7E20022E">
                              <w:pPr>
                                <w:spacing w:line="240" w:lineRule="exact"/>
                                <w:ind w:left="-53" w:leftChars="-25" w:right="-53" w:rightChars="-25"/>
                                <w:jc w:val="center"/>
                                <w:rPr>
                                  <w:rFonts w:hint="eastAsia" w:eastAsia="宋体"/>
                                  <w:sz w:val="18"/>
                                  <w:szCs w:val="21"/>
                                  <w:lang w:val="en-US" w:eastAsia="zh-CN"/>
                                </w:rPr>
                              </w:pPr>
                              <w:r>
                                <w:rPr>
                                  <w:rFonts w:hint="eastAsia"/>
                                  <w:sz w:val="18"/>
                                  <w:szCs w:val="21"/>
                                </w:rPr>
                                <w:t>预</w:t>
                              </w:r>
                              <w:r>
                                <w:rPr>
                                  <w:rFonts w:hint="eastAsia"/>
                                  <w:sz w:val="18"/>
                                  <w:szCs w:val="21"/>
                                  <w:lang w:val="en-US" w:eastAsia="zh-CN"/>
                                </w:rPr>
                                <w:t>消毒</w:t>
                              </w:r>
                            </w:p>
                          </w:txbxContent>
                        </v:textbox>
                      </v:shape>
                      <v:line id="直接连接符 138" o:spid="_x0000_s1026" o:spt="20" style="position:absolute;left:4432;top:620059;height:340;width:7;" filled="f" stroked="t" coordsize="21600,21600" o:gfxdata="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KP67sAAADb&#10;AAAADwAAAAAAAAABACAAAAAiAAAAZHJzL2Rvd25yZXYueG1sUEsBAhQAFAAAAAgAh07iQDMvBZ47&#10;AAAAOQAAABAAAAAAAAAAAQAgAAAACgEAAGRycy9zaGFwZXhtbC54bWxQSwUGAAAAAAYABgBbAQAA&#10;tAMAAAAA&#10;">
                        <v:fill on="f" focussize="0,0"/>
                        <v:stroke color="#000000" joinstyle="round" startarrow="block"/>
                        <v:imagedata o:title=""/>
                        <o:lock v:ext="edit" aspectratio="f"/>
                      </v:line>
                    </v:group>
                  </w:pict>
                </mc:Fallback>
              </mc:AlternateContent>
            </w:r>
            <w:r>
              <w:rPr>
                <w:rFonts w:hint="default"/>
                <w:color w:val="auto"/>
              </w:rPr>
              <w:t xml:space="preserve"> </w:t>
            </w:r>
          </w:p>
          <w:p w14:paraId="7E1D6E9C">
            <w:pPr>
              <w:pStyle w:val="2"/>
              <w:keepNext w:val="0"/>
              <w:keepLines w:val="0"/>
              <w:suppressLineNumbers w:val="0"/>
              <w:spacing w:before="0" w:beforeAutospacing="0" w:afterAutospacing="0"/>
              <w:ind w:right="0"/>
              <w:rPr>
                <w:rFonts w:hint="default"/>
                <w:color w:val="auto"/>
              </w:rPr>
            </w:pPr>
          </w:p>
          <w:p w14:paraId="20506C55">
            <w:pPr>
              <w:pStyle w:val="2"/>
              <w:keepNext w:val="0"/>
              <w:keepLines w:val="0"/>
              <w:suppressLineNumbers w:val="0"/>
              <w:spacing w:before="0" w:beforeAutospacing="0" w:afterAutospacing="0"/>
              <w:ind w:right="0"/>
              <w:rPr>
                <w:rFonts w:hint="default"/>
                <w:color w:val="auto"/>
              </w:rPr>
            </w:pPr>
          </w:p>
          <w:p w14:paraId="165F164D">
            <w:pPr>
              <w:pStyle w:val="2"/>
              <w:keepNext w:val="0"/>
              <w:keepLines w:val="0"/>
              <w:suppressLineNumbers w:val="0"/>
              <w:spacing w:before="0" w:beforeAutospacing="0" w:afterAutospacing="0"/>
              <w:ind w:right="0"/>
              <w:rPr>
                <w:rFonts w:hint="default"/>
                <w:color w:val="auto"/>
              </w:rPr>
            </w:pPr>
          </w:p>
          <w:p w14:paraId="2A697835">
            <w:pPr>
              <w:pStyle w:val="2"/>
              <w:keepNext w:val="0"/>
              <w:keepLines w:val="0"/>
              <w:suppressLineNumbers w:val="0"/>
              <w:spacing w:before="0" w:beforeAutospacing="0" w:afterAutospacing="0"/>
              <w:ind w:right="0"/>
              <w:rPr>
                <w:rFonts w:hint="default"/>
                <w:color w:val="auto"/>
              </w:rPr>
            </w:pPr>
          </w:p>
          <w:p w14:paraId="5AF91B4E">
            <w:pPr>
              <w:pStyle w:val="2"/>
              <w:keepNext w:val="0"/>
              <w:keepLines w:val="0"/>
              <w:suppressLineNumbers w:val="0"/>
              <w:spacing w:before="0" w:beforeAutospacing="0" w:afterAutospacing="0"/>
              <w:ind w:right="0"/>
              <w:rPr>
                <w:rFonts w:hint="default"/>
                <w:color w:val="auto"/>
              </w:rPr>
            </w:pPr>
          </w:p>
          <w:p w14:paraId="48CB31F1">
            <w:pPr>
              <w:pStyle w:val="2"/>
              <w:keepNext w:val="0"/>
              <w:keepLines w:val="0"/>
              <w:suppressLineNumbers w:val="0"/>
              <w:spacing w:before="0" w:beforeAutospacing="0" w:afterAutospacing="0"/>
              <w:ind w:right="0"/>
              <w:rPr>
                <w:rFonts w:hint="default"/>
                <w:color w:val="auto"/>
              </w:rPr>
            </w:pPr>
            <w:r>
              <w:rPr>
                <w:rFonts w:hint="default"/>
                <w:color w:val="auto"/>
                <w:szCs w:val="21"/>
              </w:rPr>
              <mc:AlternateContent>
                <mc:Choice Requires="wps">
                  <w:drawing>
                    <wp:anchor distT="0" distB="0" distL="114300" distR="114300" simplePos="0" relativeHeight="251662336" behindDoc="0" locked="0" layoutInCell="1" allowOverlap="1">
                      <wp:simplePos x="0" y="0"/>
                      <wp:positionH relativeFrom="column">
                        <wp:posOffset>1052195</wp:posOffset>
                      </wp:positionH>
                      <wp:positionV relativeFrom="paragraph">
                        <wp:posOffset>305435</wp:posOffset>
                      </wp:positionV>
                      <wp:extent cx="3091180" cy="266065"/>
                      <wp:effectExtent l="0" t="0" r="0" b="635"/>
                      <wp:wrapNone/>
                      <wp:docPr id="6" name="文本框 6"/>
                      <wp:cNvGraphicFramePr/>
                      <a:graphic xmlns:a="http://schemas.openxmlformats.org/drawingml/2006/main">
                        <a:graphicData uri="http://schemas.microsoft.com/office/word/2010/wordprocessingShape">
                          <wps:wsp>
                            <wps:cNvSpPr txBox="1"/>
                            <wps:spPr>
                              <a:xfrm>
                                <a:off x="0" y="0"/>
                                <a:ext cx="309118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D6E0A0">
                                  <w:pPr>
                                    <w:jc w:val="center"/>
                                    <w:rPr>
                                      <w:rFonts w:ascii="黑体" w:hAnsi="黑体" w:eastAsia="黑体"/>
                                      <w:sz w:val="18"/>
                                      <w:szCs w:val="21"/>
                                    </w:rPr>
                                  </w:pPr>
                                  <w:r>
                                    <w:rPr>
                                      <w:rFonts w:hint="eastAsia" w:ascii="黑体" w:hAnsi="黑体" w:eastAsia="黑体"/>
                                      <w:sz w:val="18"/>
                                      <w:szCs w:val="21"/>
                                    </w:rPr>
                                    <w:t>图</w:t>
                                  </w:r>
                                  <w:r>
                                    <w:rPr>
                                      <w:rFonts w:hint="eastAsia" w:ascii="黑体" w:hAnsi="黑体" w:eastAsia="黑体"/>
                                      <w:sz w:val="18"/>
                                      <w:szCs w:val="21"/>
                                      <w:lang w:val="en-US" w:eastAsia="zh-CN"/>
                                    </w:rPr>
                                    <w:t>4-1</w:t>
                                  </w:r>
                                  <w:r>
                                    <w:rPr>
                                      <w:rFonts w:hint="eastAsia" w:ascii="黑体" w:hAnsi="黑体" w:eastAsia="黑体"/>
                                      <w:sz w:val="18"/>
                                      <w:szCs w:val="21"/>
                                    </w:rPr>
                                    <w:t>：项目废水处理设施的工艺流程图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85pt;margin-top:24.05pt;height:20.95pt;width:243.4pt;z-index:251662336;mso-width-relative:page;mso-height-relative:page;" filled="f" stroked="f" coordsize="21600,21600" o:gfxdata="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kmVxdoAAAAJAQAADwAAAAAAAAABACAAAAAi&#10;AAAAZHJzL2Rvd25yZXYueG1sUEsBAhQAFAAAAAgAh07iQHNcpVZBAgAAdAQAAA4AAAAAAAAAAQAg&#10;AAAAKQEAAGRycy9lMm9Eb2MueG1sUEsFBgAAAAAGAAYAWQEAANwFAAAAAA==&#10;">
                      <v:fill on="f" focussize="0,0"/>
                      <v:stroke on="f" weight="0.5pt"/>
                      <v:imagedata o:title=""/>
                      <o:lock v:ext="edit" aspectratio="f"/>
                      <v:textbox>
                        <w:txbxContent>
                          <w:p w14:paraId="3ED6E0A0">
                            <w:pPr>
                              <w:jc w:val="center"/>
                              <w:rPr>
                                <w:rFonts w:ascii="黑体" w:hAnsi="黑体" w:eastAsia="黑体"/>
                                <w:sz w:val="18"/>
                                <w:szCs w:val="21"/>
                              </w:rPr>
                            </w:pPr>
                            <w:r>
                              <w:rPr>
                                <w:rFonts w:hint="eastAsia" w:ascii="黑体" w:hAnsi="黑体" w:eastAsia="黑体"/>
                                <w:sz w:val="18"/>
                                <w:szCs w:val="21"/>
                              </w:rPr>
                              <w:t>图</w:t>
                            </w:r>
                            <w:r>
                              <w:rPr>
                                <w:rFonts w:hint="eastAsia" w:ascii="黑体" w:hAnsi="黑体" w:eastAsia="黑体"/>
                                <w:sz w:val="18"/>
                                <w:szCs w:val="21"/>
                                <w:lang w:val="en-US" w:eastAsia="zh-CN"/>
                              </w:rPr>
                              <w:t>4-1</w:t>
                            </w:r>
                            <w:r>
                              <w:rPr>
                                <w:rFonts w:hint="eastAsia" w:ascii="黑体" w:hAnsi="黑体" w:eastAsia="黑体"/>
                                <w:sz w:val="18"/>
                                <w:szCs w:val="21"/>
                              </w:rPr>
                              <w:t>：项目废水处理设施的工艺流程图</w:t>
                            </w:r>
                          </w:p>
                        </w:txbxContent>
                      </v:textbox>
                    </v:shape>
                  </w:pict>
                </mc:Fallback>
              </mc:AlternateContent>
            </w:r>
          </w:p>
          <w:p w14:paraId="0050438F">
            <w:pPr>
              <w:keepNext w:val="0"/>
              <w:keepLines w:val="0"/>
              <w:suppressLineNumbers w:val="0"/>
              <w:autoSpaceDE w:val="0"/>
              <w:autoSpaceDN w:val="0"/>
              <w:adjustRightInd w:val="0"/>
              <w:snapToGrid w:val="0"/>
              <w:spacing w:before="360" w:beforeLines="150" w:beforeAutospacing="0" w:after="0" w:afterAutospacing="0" w:line="400" w:lineRule="exact"/>
              <w:ind w:left="0" w:right="0" w:firstLine="420" w:firstLineChars="200"/>
              <w:jc w:val="left"/>
              <w:rPr>
                <w:rFonts w:hint="default"/>
                <w:color w:val="auto"/>
                <w:szCs w:val="21"/>
                <w:lang w:val="zh-CN"/>
              </w:rPr>
            </w:pPr>
            <w:r>
              <w:rPr>
                <w:rFonts w:hint="eastAsia" w:ascii="宋体" w:hAnsi="宋体" w:cs="宋体"/>
                <w:color w:val="auto"/>
                <w:szCs w:val="21"/>
                <w:lang w:val="zh-CN"/>
              </w:rPr>
              <w:t>①</w:t>
            </w:r>
            <w:r>
              <w:rPr>
                <w:rFonts w:hint="default"/>
                <w:color w:val="auto"/>
                <w:szCs w:val="21"/>
                <w:lang w:val="zh-CN"/>
              </w:rPr>
              <w:t>医院污水通过管道收集后首先进入</w:t>
            </w:r>
            <w:r>
              <w:rPr>
                <w:rFonts w:hint="eastAsia"/>
                <w:color w:val="auto"/>
                <w:szCs w:val="21"/>
                <w:lang w:val="en-US" w:eastAsia="zh-CN"/>
              </w:rPr>
              <w:t>化粪池</w:t>
            </w:r>
            <w:r>
              <w:rPr>
                <w:rFonts w:hint="default"/>
                <w:color w:val="auto"/>
                <w:szCs w:val="21"/>
                <w:lang w:val="zh-CN"/>
              </w:rPr>
              <w:t>，进行初步沉淀和厌氧发酵，</w:t>
            </w:r>
            <w:r>
              <w:rPr>
                <w:rFonts w:hint="eastAsia"/>
                <w:color w:val="auto"/>
                <w:szCs w:val="21"/>
              </w:rPr>
              <w:t>然后再提升进入格栅，过滤掉大粒径的固体。然后进入调节池，</w:t>
            </w:r>
            <w:r>
              <w:rPr>
                <w:rFonts w:hint="default"/>
                <w:color w:val="auto"/>
                <w:szCs w:val="21"/>
                <w:lang w:val="zh-CN"/>
              </w:rPr>
              <w:t>以</w:t>
            </w:r>
            <w:r>
              <w:rPr>
                <w:rFonts w:hint="eastAsia"/>
                <w:color w:val="auto"/>
                <w:szCs w:val="21"/>
              </w:rPr>
              <w:t>起到</w:t>
            </w:r>
            <w:r>
              <w:rPr>
                <w:rFonts w:hint="default"/>
                <w:color w:val="auto"/>
                <w:szCs w:val="21"/>
                <w:lang w:val="zh-CN"/>
              </w:rPr>
              <w:t>调节水量、水质</w:t>
            </w:r>
            <w:r>
              <w:rPr>
                <w:rFonts w:hint="eastAsia"/>
                <w:color w:val="auto"/>
                <w:szCs w:val="21"/>
                <w:lang w:val="zh-CN"/>
              </w:rPr>
              <w:t>的</w:t>
            </w:r>
            <w:r>
              <w:rPr>
                <w:rFonts w:hint="eastAsia"/>
                <w:color w:val="auto"/>
                <w:szCs w:val="21"/>
              </w:rPr>
              <w:t>作用</w:t>
            </w:r>
            <w:r>
              <w:rPr>
                <w:rFonts w:hint="default"/>
                <w:color w:val="auto"/>
                <w:szCs w:val="21"/>
                <w:lang w:val="zh-CN"/>
              </w:rPr>
              <w:t>，有利于后续处理设施稳定运行。</w:t>
            </w:r>
          </w:p>
          <w:p w14:paraId="32A04536">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eastAsia" w:ascii="宋体" w:hAnsi="宋体" w:cs="宋体"/>
                <w:color w:val="auto"/>
                <w:szCs w:val="21"/>
                <w:lang w:val="zh-CN"/>
              </w:rPr>
              <w:t>②</w:t>
            </w:r>
            <w:r>
              <w:rPr>
                <w:rFonts w:hint="default"/>
                <w:color w:val="auto"/>
                <w:szCs w:val="21"/>
                <w:lang w:val="zh-CN"/>
              </w:rPr>
              <w:t>调节池出水自流进入</w:t>
            </w:r>
            <w:r>
              <w:rPr>
                <w:rFonts w:hint="eastAsia"/>
                <w:color w:val="auto"/>
                <w:szCs w:val="21"/>
                <w:lang w:val="en-US" w:eastAsia="zh-CN"/>
              </w:rPr>
              <w:t>水解酸化池。水解酸化为生化处理的其中一种处理方法，主要特征为池内的溶解氧介于 0～0.5mg/L 之间，池内的细菌也在厌氧菌与好氧菌之间。在兼氧菌的作用下， 污水内所含的大分子有机物降解为小分子有机物，可以提高污水的可生化性。</w:t>
            </w:r>
          </w:p>
          <w:p w14:paraId="2296FBA1">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eastAsia"/>
                <w:color w:val="auto"/>
                <w:szCs w:val="21"/>
              </w:rPr>
            </w:pPr>
            <w:r>
              <w:rPr>
                <w:rFonts w:hint="eastAsia"/>
                <w:color w:val="auto"/>
                <w:szCs w:val="21"/>
              </w:rPr>
              <w:t>③好氧生物接触氧化法兼有活性污泥和生物滤池法的特点</w:t>
            </w:r>
            <w:r>
              <w:rPr>
                <w:rFonts w:hint="eastAsia"/>
                <w:color w:val="auto"/>
                <w:szCs w:val="21"/>
                <w:lang w:eastAsia="zh-CN"/>
              </w:rPr>
              <w:t>，</w:t>
            </w:r>
            <w:r>
              <w:rPr>
                <w:rFonts w:hint="eastAsia"/>
                <w:color w:val="auto"/>
                <w:szCs w:val="21"/>
              </w:rPr>
              <w:t>氧化池中的填料及附着在其表面上的微生物均淹没在污水中。当污水流过填料层时，有机物被生物膜所吸附，污水得到净化。这个接触、吸附过程虽很短，但被吸附的有机物可以贮存在生物膜中，有较长的时间为微生物所氧化、分解、吸收。当生物膜达到一定厚度时，内层生物膜由于缺氧，好氧菌死亡，附着力减弱，就会脱落，在接触沉淀池中沉降下来，以污泥的形式排除掉。旧的生物膜脱落后，新的生物膜又会在原来脱落的地方生长起来，使氧化池处理污水的工作处于动态平衡，出水水质稳定。</w:t>
            </w:r>
          </w:p>
          <w:p w14:paraId="74B9C67C">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lang w:val="zh-CN"/>
              </w:rPr>
            </w:pPr>
            <w:r>
              <w:rPr>
                <w:rFonts w:hint="eastAsia"/>
                <w:color w:val="auto"/>
                <w:szCs w:val="21"/>
                <w:lang w:val="en-US" w:eastAsia="zh-CN"/>
              </w:rPr>
              <w:t>④</w:t>
            </w:r>
            <w:r>
              <w:rPr>
                <w:rFonts w:hint="eastAsia"/>
                <w:color w:val="auto"/>
                <w:szCs w:val="21"/>
              </w:rPr>
              <w:t>经好氧生化处理后再进行二次沉淀，去除水中悬浮物，</w:t>
            </w:r>
            <w:r>
              <w:rPr>
                <w:rFonts w:hint="default"/>
                <w:color w:val="auto"/>
                <w:szCs w:val="21"/>
                <w:lang w:val="zh-CN"/>
              </w:rPr>
              <w:t>最终废水进入消毒池。通过外部投加</w:t>
            </w:r>
            <w:r>
              <w:rPr>
                <w:rFonts w:hint="eastAsia"/>
                <w:color w:val="auto"/>
                <w:szCs w:val="21"/>
                <w:lang w:val="en-US" w:eastAsia="zh-CN"/>
              </w:rPr>
              <w:t>氯片</w:t>
            </w:r>
            <w:r>
              <w:rPr>
                <w:rFonts w:hint="eastAsia"/>
                <w:color w:val="auto"/>
                <w:szCs w:val="21"/>
              </w:rPr>
              <w:t>对处理后的废水进行</w:t>
            </w:r>
            <w:r>
              <w:rPr>
                <w:rFonts w:hint="default"/>
                <w:color w:val="auto"/>
                <w:szCs w:val="21"/>
              </w:rPr>
              <w:t>消毒</w:t>
            </w:r>
            <w:r>
              <w:rPr>
                <w:rFonts w:hint="eastAsia"/>
                <w:color w:val="auto"/>
                <w:szCs w:val="21"/>
              </w:rPr>
              <w:t>杀菌处理。</w:t>
            </w:r>
            <w:r>
              <w:rPr>
                <w:rFonts w:hint="default"/>
                <w:color w:val="auto"/>
                <w:szCs w:val="21"/>
              </w:rPr>
              <w:t>该方法无毒，运行、管理无危险性，消毒</w:t>
            </w:r>
            <w:r>
              <w:rPr>
                <w:rFonts w:hint="eastAsia"/>
                <w:color w:val="auto"/>
                <w:szCs w:val="21"/>
              </w:rPr>
              <w:t>后</w:t>
            </w:r>
            <w:r>
              <w:rPr>
                <w:rFonts w:hint="default"/>
                <w:color w:val="auto"/>
                <w:szCs w:val="21"/>
              </w:rPr>
              <w:t>出水达到《医疗机构水污染物排放标准》（GB 18466-2005）预处理标准后排入</w:t>
            </w:r>
            <w:r>
              <w:rPr>
                <w:rFonts w:hint="eastAsia"/>
                <w:color w:val="auto"/>
                <w:szCs w:val="21"/>
              </w:rPr>
              <w:t>附近</w:t>
            </w:r>
            <w:r>
              <w:rPr>
                <w:rFonts w:hint="default"/>
                <w:color w:val="auto"/>
                <w:szCs w:val="21"/>
              </w:rPr>
              <w:t>市政污水管网。</w:t>
            </w:r>
          </w:p>
          <w:p w14:paraId="36161414">
            <w:pPr>
              <w:keepNext w:val="0"/>
              <w:keepLines w:val="0"/>
              <w:suppressLineNumbers w:val="0"/>
              <w:autoSpaceDE w:val="0"/>
              <w:autoSpaceDN w:val="0"/>
              <w:adjustRightInd w:val="0"/>
              <w:snapToGrid w:val="0"/>
              <w:spacing w:before="0" w:beforeAutospacing="0" w:after="0" w:afterAutospacing="0" w:line="400" w:lineRule="exact"/>
              <w:ind w:left="0" w:right="0" w:firstLine="420" w:firstLineChars="200"/>
              <w:jc w:val="left"/>
              <w:rPr>
                <w:rFonts w:hint="default"/>
                <w:color w:val="auto"/>
                <w:szCs w:val="21"/>
              </w:rPr>
            </w:pPr>
            <w:r>
              <w:rPr>
                <w:rFonts w:hint="default"/>
                <w:color w:val="auto"/>
                <w:szCs w:val="21"/>
              </w:rPr>
              <w:t>根据本项目所设诊疗科室分析，项目运营</w:t>
            </w:r>
            <w:r>
              <w:rPr>
                <w:rFonts w:hint="eastAsia"/>
                <w:color w:val="auto"/>
                <w:szCs w:val="21"/>
              </w:rPr>
              <w:t>期</w:t>
            </w:r>
            <w:r>
              <w:rPr>
                <w:rFonts w:hint="default"/>
                <w:color w:val="auto"/>
                <w:szCs w:val="21"/>
              </w:rPr>
              <w:t>不涉及含汞废水、洗相室废液、低放射性废水及含油废水。项目检验室设置专门处理酸碱废液的中和池，将产生的酸碱废液先进行中和处理后，再排入污水处理站。</w:t>
            </w:r>
            <w:r>
              <w:rPr>
                <w:rFonts w:hint="eastAsia"/>
                <w:color w:val="auto"/>
                <w:szCs w:val="21"/>
                <w:lang w:val="en-US" w:eastAsia="zh-CN"/>
              </w:rPr>
              <w:t>血透中心阳性治疗区的水单独收集预消毒后，</w:t>
            </w:r>
            <w:r>
              <w:rPr>
                <w:rFonts w:hint="default"/>
                <w:color w:val="auto"/>
                <w:szCs w:val="21"/>
              </w:rPr>
              <w:t>再排入污水处理站。项目污水处理站运行时，会产生一定量的污泥。污泥定期清掏彻底消杀处理后，委托有资质单位处理。</w:t>
            </w:r>
          </w:p>
          <w:p w14:paraId="05F6485B">
            <w:pPr>
              <w:keepNext w:val="0"/>
              <w:keepLines w:val="0"/>
              <w:suppressLineNumbers w:val="0"/>
              <w:spacing w:before="0" w:beforeAutospacing="0" w:after="0" w:afterAutospacing="0" w:line="400" w:lineRule="exact"/>
              <w:ind w:left="0" w:right="0" w:firstLine="422" w:firstLineChars="200"/>
              <w:rPr>
                <w:rFonts w:hint="default"/>
                <w:b/>
                <w:color w:val="auto"/>
                <w:szCs w:val="21"/>
              </w:rPr>
            </w:pPr>
            <w:r>
              <w:rPr>
                <w:rFonts w:hint="eastAsia"/>
                <w:b/>
                <w:color w:val="auto"/>
                <w:szCs w:val="21"/>
              </w:rPr>
              <w:t>2）处理效率及达标排放可行性分析</w:t>
            </w:r>
          </w:p>
          <w:p w14:paraId="1797049D">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default"/>
                <w:color w:val="auto"/>
                <w:szCs w:val="21"/>
              </w:rPr>
              <w:t>根据保守估计，类比同类规模、相同处理工艺的其他医院污水处理站，该废水处理设施的处理效率见下表。</w:t>
            </w:r>
          </w:p>
          <w:p w14:paraId="182488B1">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 xml:space="preserve">4-8  </w:t>
            </w:r>
            <w:r>
              <w:rPr>
                <w:rFonts w:hint="default" w:eastAsia="黑体"/>
                <w:color w:val="auto"/>
                <w:sz w:val="18"/>
                <w:szCs w:val="18"/>
              </w:rPr>
              <w:t xml:space="preserve">  项目废水产生及排放情况</w:t>
            </w:r>
          </w:p>
          <w:tbl>
            <w:tblPr>
              <w:tblStyle w:val="13"/>
              <w:tblW w:w="7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761"/>
              <w:gridCol w:w="1636"/>
              <w:gridCol w:w="754"/>
              <w:gridCol w:w="755"/>
              <w:gridCol w:w="754"/>
              <w:gridCol w:w="929"/>
              <w:gridCol w:w="1120"/>
            </w:tblGrid>
            <w:tr w14:paraId="5A22C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tblHeader/>
                <w:jc w:val="center"/>
              </w:trPr>
              <w:tc>
                <w:tcPr>
                  <w:tcW w:w="3485" w:type="dxa"/>
                  <w:gridSpan w:val="3"/>
                  <w:vAlign w:val="center"/>
                </w:tcPr>
                <w:p w14:paraId="5DB78385">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废水性质</w:t>
                  </w:r>
                </w:p>
              </w:tc>
              <w:tc>
                <w:tcPr>
                  <w:tcW w:w="754" w:type="dxa"/>
                  <w:vAlign w:val="center"/>
                </w:tcPr>
                <w:p w14:paraId="0F9B3C1C">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COD</w:t>
                  </w:r>
                  <w:r>
                    <w:rPr>
                      <w:rFonts w:hint="default"/>
                      <w:color w:val="auto"/>
                      <w:sz w:val="18"/>
                      <w:szCs w:val="18"/>
                      <w:vertAlign w:val="subscript"/>
                    </w:rPr>
                    <w:t>Cr</w:t>
                  </w:r>
                </w:p>
                <w:p w14:paraId="0D34EBA3">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(mg/L)</w:t>
                  </w:r>
                </w:p>
              </w:tc>
              <w:tc>
                <w:tcPr>
                  <w:tcW w:w="755" w:type="dxa"/>
                  <w:vAlign w:val="center"/>
                </w:tcPr>
                <w:p w14:paraId="478C1917">
                  <w:pPr>
                    <w:keepNext w:val="0"/>
                    <w:keepLines w:val="0"/>
                    <w:suppressLineNumbers w:val="0"/>
                    <w:spacing w:before="0" w:beforeAutospacing="0" w:after="0" w:afterAutospacing="0" w:line="300" w:lineRule="exact"/>
                    <w:ind w:left="0" w:right="0"/>
                    <w:jc w:val="center"/>
                    <w:rPr>
                      <w:rFonts w:hint="default"/>
                      <w:color w:val="auto"/>
                      <w:sz w:val="18"/>
                      <w:szCs w:val="18"/>
                      <w:vertAlign w:val="subscript"/>
                    </w:rPr>
                  </w:pPr>
                  <w:r>
                    <w:rPr>
                      <w:rFonts w:hint="eastAsia"/>
                      <w:color w:val="auto"/>
                      <w:sz w:val="18"/>
                      <w:szCs w:val="18"/>
                    </w:rPr>
                    <w:t>BOD</w:t>
                  </w:r>
                  <w:r>
                    <w:rPr>
                      <w:rFonts w:hint="eastAsia"/>
                      <w:color w:val="auto"/>
                      <w:sz w:val="18"/>
                      <w:szCs w:val="18"/>
                      <w:vertAlign w:val="subscript"/>
                    </w:rPr>
                    <w:t>5</w:t>
                  </w:r>
                </w:p>
                <w:p w14:paraId="572810C1">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(mg/L)</w:t>
                  </w:r>
                </w:p>
              </w:tc>
              <w:tc>
                <w:tcPr>
                  <w:tcW w:w="754" w:type="dxa"/>
                  <w:vAlign w:val="center"/>
                </w:tcPr>
                <w:p w14:paraId="770426BB">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SS</w:t>
                  </w:r>
                </w:p>
                <w:p w14:paraId="74C5D39C">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(mg/L)</w:t>
                  </w:r>
                </w:p>
              </w:tc>
              <w:tc>
                <w:tcPr>
                  <w:tcW w:w="929" w:type="dxa"/>
                  <w:tcBorders>
                    <w:right w:val="single" w:color="auto" w:sz="4" w:space="0"/>
                  </w:tcBorders>
                  <w:vAlign w:val="center"/>
                </w:tcPr>
                <w:p w14:paraId="1DC9010F">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NH</w:t>
                  </w:r>
                  <w:r>
                    <w:rPr>
                      <w:rFonts w:hint="eastAsia"/>
                      <w:color w:val="auto"/>
                      <w:sz w:val="18"/>
                      <w:szCs w:val="18"/>
                      <w:vertAlign w:val="subscript"/>
                    </w:rPr>
                    <w:t>3</w:t>
                  </w:r>
                  <w:r>
                    <w:rPr>
                      <w:rFonts w:hint="eastAsia"/>
                      <w:color w:val="auto"/>
                      <w:sz w:val="18"/>
                      <w:szCs w:val="18"/>
                    </w:rPr>
                    <w:t>-N</w:t>
                  </w:r>
                </w:p>
                <w:p w14:paraId="5516D6AF">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(mg/L)</w:t>
                  </w:r>
                </w:p>
              </w:tc>
              <w:tc>
                <w:tcPr>
                  <w:tcW w:w="1120" w:type="dxa"/>
                  <w:tcBorders>
                    <w:left w:val="single" w:color="auto" w:sz="4" w:space="0"/>
                  </w:tcBorders>
                  <w:vAlign w:val="center"/>
                </w:tcPr>
                <w:p w14:paraId="2263AD05">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粪大肠菌群</w:t>
                  </w:r>
                  <w:r>
                    <w:rPr>
                      <w:rFonts w:hint="default"/>
                      <w:color w:val="auto"/>
                      <w:sz w:val="18"/>
                      <w:szCs w:val="18"/>
                    </w:rPr>
                    <w:t>(</w:t>
                  </w:r>
                  <w:r>
                    <w:rPr>
                      <w:rFonts w:hint="eastAsia"/>
                      <w:color w:val="auto"/>
                      <w:sz w:val="18"/>
                      <w:szCs w:val="18"/>
                    </w:rPr>
                    <w:t>个</w:t>
                  </w:r>
                  <w:r>
                    <w:rPr>
                      <w:rFonts w:hint="default"/>
                      <w:color w:val="auto"/>
                      <w:sz w:val="18"/>
                      <w:szCs w:val="18"/>
                    </w:rPr>
                    <w:t>/L)</w:t>
                  </w:r>
                </w:p>
              </w:tc>
            </w:tr>
            <w:tr w14:paraId="580E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88" w:type="dxa"/>
                  <w:vMerge w:val="restart"/>
                  <w:vAlign w:val="center"/>
                </w:tcPr>
                <w:p w14:paraId="7E08881E">
                  <w:pPr>
                    <w:keepNext w:val="0"/>
                    <w:keepLines w:val="0"/>
                    <w:suppressLineNumbers w:val="0"/>
                    <w:snapToGrid w:val="0"/>
                    <w:spacing w:before="0" w:beforeAutospacing="0" w:after="0" w:afterAutospacing="0" w:line="300" w:lineRule="exact"/>
                    <w:ind w:left="-105" w:leftChars="-50" w:right="-105" w:rightChars="-50"/>
                    <w:jc w:val="center"/>
                    <w:rPr>
                      <w:rFonts w:hint="default"/>
                      <w:color w:val="auto"/>
                      <w:sz w:val="18"/>
                      <w:szCs w:val="18"/>
                    </w:rPr>
                  </w:pPr>
                  <w:r>
                    <w:rPr>
                      <w:rFonts w:hint="default"/>
                      <w:color w:val="auto"/>
                      <w:sz w:val="18"/>
                      <w:szCs w:val="18"/>
                    </w:rPr>
                    <w:t>综合废水</w:t>
                  </w:r>
                </w:p>
                <w:p w14:paraId="0D5B6040">
                  <w:pPr>
                    <w:keepNext w:val="0"/>
                    <w:keepLines w:val="0"/>
                    <w:suppressLineNumbers w:val="0"/>
                    <w:snapToGrid w:val="0"/>
                    <w:spacing w:before="0" w:beforeAutospacing="0" w:after="0" w:afterAutospacing="0" w:line="300" w:lineRule="exact"/>
                    <w:ind w:left="-105" w:leftChars="-50" w:right="-105" w:rightChars="-50"/>
                    <w:jc w:val="center"/>
                    <w:rPr>
                      <w:rFonts w:hint="default"/>
                      <w:color w:val="auto"/>
                      <w:sz w:val="18"/>
                      <w:szCs w:val="18"/>
                    </w:rPr>
                  </w:pPr>
                  <w:r>
                    <w:rPr>
                      <w:rFonts w:hint="default"/>
                      <w:color w:val="auto"/>
                      <w:sz w:val="18"/>
                      <w:szCs w:val="18"/>
                    </w:rPr>
                    <w:t>（</w:t>
                  </w:r>
                  <w:r>
                    <w:rPr>
                      <w:rFonts w:hint="eastAsia"/>
                      <w:color w:val="auto"/>
                      <w:sz w:val="18"/>
                      <w:szCs w:val="18"/>
                    </w:rPr>
                    <w:t>8869.5</w:t>
                  </w:r>
                  <w:r>
                    <w:rPr>
                      <w:rFonts w:hint="default"/>
                      <w:color w:val="auto"/>
                      <w:sz w:val="18"/>
                      <w:szCs w:val="18"/>
                    </w:rPr>
                    <w:t>m</w:t>
                  </w:r>
                  <w:r>
                    <w:rPr>
                      <w:rFonts w:hint="default"/>
                      <w:color w:val="auto"/>
                      <w:sz w:val="18"/>
                      <w:szCs w:val="18"/>
                      <w:vertAlign w:val="superscript"/>
                    </w:rPr>
                    <w:t>3</w:t>
                  </w:r>
                  <w:r>
                    <w:rPr>
                      <w:rFonts w:hint="default"/>
                      <w:color w:val="auto"/>
                      <w:sz w:val="18"/>
                      <w:szCs w:val="18"/>
                    </w:rPr>
                    <w:t>/a）</w:t>
                  </w:r>
                </w:p>
              </w:tc>
              <w:tc>
                <w:tcPr>
                  <w:tcW w:w="761" w:type="dxa"/>
                  <w:vMerge w:val="restart"/>
                  <w:vAlign w:val="center"/>
                </w:tcPr>
                <w:p w14:paraId="6ADD98FE">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处理前</w:t>
                  </w:r>
                </w:p>
              </w:tc>
              <w:tc>
                <w:tcPr>
                  <w:tcW w:w="1636" w:type="dxa"/>
                  <w:vAlign w:val="center"/>
                </w:tcPr>
                <w:p w14:paraId="7F5ADD93">
                  <w:pPr>
                    <w:keepNext w:val="0"/>
                    <w:keepLines w:val="0"/>
                    <w:suppressLineNumbers w:val="0"/>
                    <w:spacing w:before="0" w:beforeAutospacing="0" w:after="0" w:afterAutospacing="0" w:line="300" w:lineRule="exact"/>
                    <w:ind w:left="0" w:right="0"/>
                    <w:jc w:val="center"/>
                    <w:rPr>
                      <w:rFonts w:hint="default"/>
                      <w:color w:val="auto"/>
                      <w:spacing w:val="-2"/>
                      <w:kern w:val="0"/>
                      <w:sz w:val="18"/>
                      <w:szCs w:val="18"/>
                    </w:rPr>
                  </w:pPr>
                  <w:r>
                    <w:rPr>
                      <w:rFonts w:hint="default"/>
                      <w:color w:val="auto"/>
                      <w:spacing w:val="-2"/>
                      <w:kern w:val="0"/>
                      <w:sz w:val="18"/>
                      <w:szCs w:val="18"/>
                    </w:rPr>
                    <w:t>产生浓度（mg/L）</w:t>
                  </w:r>
                </w:p>
              </w:tc>
              <w:tc>
                <w:tcPr>
                  <w:tcW w:w="754" w:type="dxa"/>
                  <w:vAlign w:val="center"/>
                </w:tcPr>
                <w:p w14:paraId="71346CDC">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300</w:t>
                  </w:r>
                </w:p>
              </w:tc>
              <w:tc>
                <w:tcPr>
                  <w:tcW w:w="755" w:type="dxa"/>
                  <w:vAlign w:val="center"/>
                </w:tcPr>
                <w:p w14:paraId="21728C48">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150</w:t>
                  </w:r>
                </w:p>
              </w:tc>
              <w:tc>
                <w:tcPr>
                  <w:tcW w:w="754" w:type="dxa"/>
                  <w:vAlign w:val="center"/>
                </w:tcPr>
                <w:p w14:paraId="66DFC424">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120</w:t>
                  </w:r>
                </w:p>
              </w:tc>
              <w:tc>
                <w:tcPr>
                  <w:tcW w:w="929" w:type="dxa"/>
                  <w:tcBorders>
                    <w:right w:val="single" w:color="auto" w:sz="4" w:space="0"/>
                  </w:tcBorders>
                  <w:vAlign w:val="center"/>
                </w:tcPr>
                <w:p w14:paraId="2B6C5402">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50</w:t>
                  </w:r>
                </w:p>
              </w:tc>
              <w:tc>
                <w:tcPr>
                  <w:tcW w:w="1120" w:type="dxa"/>
                  <w:tcBorders>
                    <w:left w:val="single" w:color="auto" w:sz="4" w:space="0"/>
                  </w:tcBorders>
                  <w:vAlign w:val="center"/>
                </w:tcPr>
                <w:p w14:paraId="6025A1DC">
                  <w:pPr>
                    <w:keepNext w:val="0"/>
                    <w:keepLines w:val="0"/>
                    <w:suppressLineNumbers w:val="0"/>
                    <w:snapToGrid w:val="0"/>
                    <w:spacing w:before="0" w:beforeAutospacing="0" w:after="0" w:afterAutospacing="0" w:line="300" w:lineRule="exact"/>
                    <w:ind w:left="0" w:right="0"/>
                    <w:jc w:val="center"/>
                    <w:rPr>
                      <w:rFonts w:hint="default"/>
                      <w:color w:val="auto"/>
                      <w:sz w:val="18"/>
                      <w:szCs w:val="18"/>
                      <w:vertAlign w:val="superscript"/>
                    </w:rPr>
                  </w:pPr>
                  <w:r>
                    <w:rPr>
                      <w:rFonts w:hint="default"/>
                      <w:color w:val="auto"/>
                      <w:sz w:val="18"/>
                      <w:szCs w:val="18"/>
                    </w:rPr>
                    <w:t>9.0×10</w:t>
                  </w:r>
                  <w:r>
                    <w:rPr>
                      <w:rFonts w:hint="default"/>
                      <w:color w:val="auto"/>
                      <w:sz w:val="18"/>
                      <w:szCs w:val="18"/>
                      <w:vertAlign w:val="superscript"/>
                    </w:rPr>
                    <w:t>4</w:t>
                  </w:r>
                </w:p>
              </w:tc>
            </w:tr>
            <w:tr w14:paraId="263B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88" w:type="dxa"/>
                  <w:vMerge w:val="continue"/>
                  <w:vAlign w:val="center"/>
                </w:tcPr>
                <w:p w14:paraId="4D3A156B">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p>
              </w:tc>
              <w:tc>
                <w:tcPr>
                  <w:tcW w:w="761" w:type="dxa"/>
                  <w:vMerge w:val="continue"/>
                  <w:vAlign w:val="center"/>
                </w:tcPr>
                <w:p w14:paraId="64133BBE">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p>
              </w:tc>
              <w:tc>
                <w:tcPr>
                  <w:tcW w:w="1636" w:type="dxa"/>
                  <w:vAlign w:val="center"/>
                </w:tcPr>
                <w:p w14:paraId="54649084">
                  <w:pPr>
                    <w:keepNext w:val="0"/>
                    <w:keepLines w:val="0"/>
                    <w:suppressLineNumbers w:val="0"/>
                    <w:spacing w:before="0" w:beforeAutospacing="0" w:after="0" w:afterAutospacing="0" w:line="300" w:lineRule="exact"/>
                    <w:ind w:left="0" w:right="0"/>
                    <w:jc w:val="center"/>
                    <w:rPr>
                      <w:rFonts w:hint="default"/>
                      <w:color w:val="auto"/>
                      <w:spacing w:val="-2"/>
                      <w:kern w:val="0"/>
                      <w:sz w:val="18"/>
                      <w:szCs w:val="18"/>
                    </w:rPr>
                  </w:pPr>
                  <w:r>
                    <w:rPr>
                      <w:rFonts w:hint="default"/>
                      <w:color w:val="auto"/>
                      <w:spacing w:val="-2"/>
                      <w:kern w:val="0"/>
                      <w:sz w:val="18"/>
                      <w:szCs w:val="18"/>
                    </w:rPr>
                    <w:t>产生量（t/a）</w:t>
                  </w:r>
                </w:p>
              </w:tc>
              <w:tc>
                <w:tcPr>
                  <w:tcW w:w="754" w:type="dxa"/>
                  <w:vAlign w:val="center"/>
                </w:tcPr>
                <w:p w14:paraId="144CCA27">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3.388</w:t>
                  </w:r>
                </w:p>
              </w:tc>
              <w:tc>
                <w:tcPr>
                  <w:tcW w:w="755" w:type="dxa"/>
                  <w:vAlign w:val="center"/>
                </w:tcPr>
                <w:p w14:paraId="6A6E9034">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1.694</w:t>
                  </w:r>
                </w:p>
              </w:tc>
              <w:tc>
                <w:tcPr>
                  <w:tcW w:w="754" w:type="dxa"/>
                  <w:vAlign w:val="center"/>
                </w:tcPr>
                <w:p w14:paraId="5A715011">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1.355</w:t>
                  </w:r>
                </w:p>
              </w:tc>
              <w:tc>
                <w:tcPr>
                  <w:tcW w:w="929" w:type="dxa"/>
                  <w:tcBorders>
                    <w:right w:val="single" w:color="auto" w:sz="4" w:space="0"/>
                  </w:tcBorders>
                  <w:vAlign w:val="center"/>
                </w:tcPr>
                <w:p w14:paraId="686D3A84">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0.565</w:t>
                  </w:r>
                </w:p>
              </w:tc>
              <w:tc>
                <w:tcPr>
                  <w:tcW w:w="1120" w:type="dxa"/>
                  <w:tcBorders>
                    <w:left w:val="single" w:color="auto" w:sz="4" w:space="0"/>
                  </w:tcBorders>
                  <w:vAlign w:val="center"/>
                </w:tcPr>
                <w:p w14:paraId="0274FC5C">
                  <w:pPr>
                    <w:pStyle w:val="39"/>
                    <w:keepNext w:val="0"/>
                    <w:keepLines w:val="0"/>
                    <w:suppressLineNumbers w:val="0"/>
                    <w:spacing w:before="0" w:beforeAutospacing="0" w:after="0" w:afterAutospacing="0" w:line="300" w:lineRule="exact"/>
                    <w:ind w:left="0" w:right="0"/>
                    <w:jc w:val="center"/>
                    <w:rPr>
                      <w:rFonts w:hint="eastAsia" w:eastAsiaTheme="minorEastAsia"/>
                      <w:color w:val="auto"/>
                      <w:sz w:val="18"/>
                      <w:szCs w:val="18"/>
                      <w:lang w:eastAsia="zh-CN"/>
                    </w:rPr>
                  </w:pPr>
                  <w:r>
                    <w:rPr>
                      <w:rFonts w:hint="default" w:ascii="Times New Roman" w:hAnsi="Times New Roman" w:eastAsiaTheme="minorEastAsia"/>
                      <w:color w:val="auto"/>
                      <w:spacing w:val="1"/>
                      <w:sz w:val="18"/>
                      <w:szCs w:val="18"/>
                    </w:rPr>
                    <w:t>1.016×10</w:t>
                  </w:r>
                  <w:r>
                    <w:rPr>
                      <w:rFonts w:hint="eastAsia" w:ascii="Times New Roman" w:hAnsi="Times New Roman" w:eastAsiaTheme="minorEastAsia"/>
                      <w:color w:val="auto"/>
                      <w:spacing w:val="1"/>
                      <w:sz w:val="18"/>
                      <w:szCs w:val="18"/>
                      <w:vertAlign w:val="superscript"/>
                    </w:rPr>
                    <w:t>1</w:t>
                  </w:r>
                  <w:r>
                    <w:rPr>
                      <w:rFonts w:hint="eastAsia" w:ascii="Times New Roman" w:hAnsi="Times New Roman" w:eastAsiaTheme="minorEastAsia"/>
                      <w:color w:val="auto"/>
                      <w:spacing w:val="1"/>
                      <w:sz w:val="18"/>
                      <w:szCs w:val="18"/>
                      <w:vertAlign w:val="superscript"/>
                      <w:lang w:val="en-US" w:eastAsia="zh-CN"/>
                    </w:rPr>
                    <w:t>2</w:t>
                  </w:r>
                </w:p>
              </w:tc>
            </w:tr>
            <w:tr w14:paraId="248D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88" w:type="dxa"/>
                  <w:vMerge w:val="continue"/>
                  <w:vAlign w:val="center"/>
                </w:tcPr>
                <w:p w14:paraId="4D6FE085">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761" w:type="dxa"/>
                  <w:vMerge w:val="restart"/>
                  <w:vAlign w:val="center"/>
                </w:tcPr>
                <w:p w14:paraId="5B79EF01">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处理后</w:t>
                  </w:r>
                </w:p>
              </w:tc>
              <w:tc>
                <w:tcPr>
                  <w:tcW w:w="1636" w:type="dxa"/>
                  <w:vAlign w:val="center"/>
                </w:tcPr>
                <w:p w14:paraId="516A251A">
                  <w:pPr>
                    <w:keepNext w:val="0"/>
                    <w:keepLines w:val="0"/>
                    <w:suppressLineNumbers w:val="0"/>
                    <w:spacing w:before="0" w:beforeAutospacing="0" w:after="0" w:afterAutospacing="0" w:line="300" w:lineRule="exact"/>
                    <w:ind w:left="0" w:right="0"/>
                    <w:jc w:val="center"/>
                    <w:rPr>
                      <w:rFonts w:hint="default"/>
                      <w:color w:val="auto"/>
                      <w:spacing w:val="-2"/>
                      <w:kern w:val="0"/>
                      <w:sz w:val="18"/>
                      <w:szCs w:val="18"/>
                    </w:rPr>
                  </w:pPr>
                  <w:r>
                    <w:rPr>
                      <w:rFonts w:hint="default"/>
                      <w:color w:val="auto"/>
                      <w:spacing w:val="-2"/>
                      <w:kern w:val="0"/>
                      <w:sz w:val="18"/>
                      <w:szCs w:val="18"/>
                    </w:rPr>
                    <w:t>排放浓度（mg/L）</w:t>
                  </w:r>
                </w:p>
              </w:tc>
              <w:tc>
                <w:tcPr>
                  <w:tcW w:w="754" w:type="dxa"/>
                  <w:vAlign w:val="center"/>
                </w:tcPr>
                <w:p w14:paraId="72909F41">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250</w:t>
                  </w:r>
                </w:p>
              </w:tc>
              <w:tc>
                <w:tcPr>
                  <w:tcW w:w="755" w:type="dxa"/>
                  <w:vAlign w:val="center"/>
                </w:tcPr>
                <w:p w14:paraId="0A981DD5">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100</w:t>
                  </w:r>
                </w:p>
              </w:tc>
              <w:tc>
                <w:tcPr>
                  <w:tcW w:w="754" w:type="dxa"/>
                  <w:vAlign w:val="center"/>
                </w:tcPr>
                <w:p w14:paraId="6BC91D58">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60</w:t>
                  </w:r>
                </w:p>
              </w:tc>
              <w:tc>
                <w:tcPr>
                  <w:tcW w:w="929" w:type="dxa"/>
                  <w:tcBorders>
                    <w:right w:val="single" w:color="auto" w:sz="4" w:space="0"/>
                  </w:tcBorders>
                  <w:vAlign w:val="center"/>
                </w:tcPr>
                <w:p w14:paraId="53787CB9">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30</w:t>
                  </w:r>
                </w:p>
              </w:tc>
              <w:tc>
                <w:tcPr>
                  <w:tcW w:w="1120" w:type="dxa"/>
                  <w:tcBorders>
                    <w:left w:val="single" w:color="auto" w:sz="4" w:space="0"/>
                  </w:tcBorders>
                  <w:vAlign w:val="center"/>
                </w:tcPr>
                <w:p w14:paraId="3EA4E875">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900</w:t>
                  </w:r>
                </w:p>
              </w:tc>
            </w:tr>
            <w:tr w14:paraId="70BDE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88" w:type="dxa"/>
                  <w:vMerge w:val="continue"/>
                  <w:vAlign w:val="center"/>
                </w:tcPr>
                <w:p w14:paraId="014A6817">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761" w:type="dxa"/>
                  <w:vMerge w:val="continue"/>
                  <w:vAlign w:val="center"/>
                </w:tcPr>
                <w:p w14:paraId="31320260">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p>
              </w:tc>
              <w:tc>
                <w:tcPr>
                  <w:tcW w:w="1636" w:type="dxa"/>
                  <w:vAlign w:val="center"/>
                </w:tcPr>
                <w:p w14:paraId="1F95A78A">
                  <w:pPr>
                    <w:keepNext w:val="0"/>
                    <w:keepLines w:val="0"/>
                    <w:suppressLineNumbers w:val="0"/>
                    <w:spacing w:before="0" w:beforeAutospacing="0" w:after="0" w:afterAutospacing="0" w:line="300" w:lineRule="exact"/>
                    <w:ind w:left="0" w:right="0"/>
                    <w:jc w:val="center"/>
                    <w:rPr>
                      <w:rFonts w:hint="default"/>
                      <w:color w:val="auto"/>
                      <w:spacing w:val="-2"/>
                      <w:kern w:val="0"/>
                      <w:sz w:val="18"/>
                      <w:szCs w:val="18"/>
                    </w:rPr>
                  </w:pPr>
                  <w:r>
                    <w:rPr>
                      <w:rFonts w:hint="default"/>
                      <w:color w:val="auto"/>
                      <w:spacing w:val="-2"/>
                      <w:kern w:val="0"/>
                      <w:sz w:val="18"/>
                      <w:szCs w:val="18"/>
                    </w:rPr>
                    <w:t>排放量（t/a）</w:t>
                  </w:r>
                </w:p>
              </w:tc>
              <w:tc>
                <w:tcPr>
                  <w:tcW w:w="754" w:type="dxa"/>
                  <w:vAlign w:val="center"/>
                </w:tcPr>
                <w:p w14:paraId="1208B5F3">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2.823</w:t>
                  </w:r>
                </w:p>
              </w:tc>
              <w:tc>
                <w:tcPr>
                  <w:tcW w:w="755" w:type="dxa"/>
                  <w:vAlign w:val="center"/>
                </w:tcPr>
                <w:p w14:paraId="368B8ED1">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1.129</w:t>
                  </w:r>
                </w:p>
              </w:tc>
              <w:tc>
                <w:tcPr>
                  <w:tcW w:w="754" w:type="dxa"/>
                  <w:vAlign w:val="center"/>
                </w:tcPr>
                <w:p w14:paraId="07771427">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0.678</w:t>
                  </w:r>
                </w:p>
              </w:tc>
              <w:tc>
                <w:tcPr>
                  <w:tcW w:w="929" w:type="dxa"/>
                  <w:tcBorders>
                    <w:right w:val="single" w:color="auto" w:sz="4" w:space="0"/>
                  </w:tcBorders>
                  <w:vAlign w:val="center"/>
                </w:tcPr>
                <w:p w14:paraId="3C0D1E83">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0.339</w:t>
                  </w:r>
                </w:p>
              </w:tc>
              <w:tc>
                <w:tcPr>
                  <w:tcW w:w="1120" w:type="dxa"/>
                  <w:tcBorders>
                    <w:left w:val="single" w:color="auto" w:sz="4" w:space="0"/>
                  </w:tcBorders>
                  <w:vAlign w:val="center"/>
                </w:tcPr>
                <w:p w14:paraId="54FA31A6">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eastAsiaTheme="minorEastAsia"/>
                      <w:color w:val="auto"/>
                      <w:spacing w:val="1"/>
                      <w:sz w:val="18"/>
                      <w:szCs w:val="18"/>
                      <w:lang w:val="en-US" w:eastAsia="zh-CN"/>
                    </w:rPr>
                    <w:t>1.016</w:t>
                  </w:r>
                  <w:r>
                    <w:rPr>
                      <w:rFonts w:hint="default" w:eastAsiaTheme="minorEastAsia"/>
                      <w:color w:val="auto"/>
                      <w:spacing w:val="1"/>
                      <w:sz w:val="18"/>
                      <w:szCs w:val="18"/>
                    </w:rPr>
                    <w:t>×10</w:t>
                  </w:r>
                  <w:r>
                    <w:rPr>
                      <w:rFonts w:hint="eastAsia" w:eastAsiaTheme="minorEastAsia"/>
                      <w:color w:val="auto"/>
                      <w:spacing w:val="1"/>
                      <w:sz w:val="18"/>
                      <w:szCs w:val="18"/>
                      <w:vertAlign w:val="superscript"/>
                    </w:rPr>
                    <w:t>9</w:t>
                  </w:r>
                </w:p>
              </w:tc>
            </w:tr>
            <w:tr w14:paraId="27182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088" w:type="dxa"/>
                  <w:vMerge w:val="continue"/>
                  <w:vAlign w:val="center"/>
                </w:tcPr>
                <w:p w14:paraId="1C89498E">
                  <w:pPr>
                    <w:keepNext w:val="0"/>
                    <w:keepLines w:val="0"/>
                    <w:suppressLineNumbers w:val="0"/>
                    <w:spacing w:before="0" w:beforeAutospacing="0" w:after="0" w:afterAutospacing="0" w:line="300" w:lineRule="exact"/>
                    <w:ind w:left="0" w:right="0"/>
                    <w:jc w:val="center"/>
                    <w:rPr>
                      <w:rFonts w:hint="default"/>
                      <w:color w:val="auto"/>
                      <w:sz w:val="18"/>
                      <w:szCs w:val="18"/>
                    </w:rPr>
                  </w:pPr>
                </w:p>
              </w:tc>
              <w:tc>
                <w:tcPr>
                  <w:tcW w:w="761" w:type="dxa"/>
                  <w:vMerge w:val="continue"/>
                  <w:vAlign w:val="center"/>
                </w:tcPr>
                <w:p w14:paraId="26B9432B">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p>
              </w:tc>
              <w:tc>
                <w:tcPr>
                  <w:tcW w:w="1636" w:type="dxa"/>
                  <w:vAlign w:val="center"/>
                </w:tcPr>
                <w:p w14:paraId="349D2DC9">
                  <w:pPr>
                    <w:keepNext w:val="0"/>
                    <w:keepLines w:val="0"/>
                    <w:suppressLineNumbers w:val="0"/>
                    <w:spacing w:before="0" w:beforeAutospacing="0" w:after="0" w:afterAutospacing="0" w:line="300" w:lineRule="exact"/>
                    <w:ind w:left="0" w:right="0"/>
                    <w:jc w:val="center"/>
                    <w:rPr>
                      <w:rFonts w:hint="default"/>
                      <w:color w:val="auto"/>
                      <w:spacing w:val="-2"/>
                      <w:kern w:val="0"/>
                      <w:sz w:val="18"/>
                      <w:szCs w:val="18"/>
                    </w:rPr>
                  </w:pPr>
                  <w:r>
                    <w:rPr>
                      <w:rFonts w:hint="default"/>
                      <w:color w:val="auto"/>
                      <w:spacing w:val="-2"/>
                      <w:kern w:val="0"/>
                      <w:sz w:val="18"/>
                      <w:szCs w:val="18"/>
                    </w:rPr>
                    <w:t>削减量（t/a）</w:t>
                  </w:r>
                </w:p>
              </w:tc>
              <w:tc>
                <w:tcPr>
                  <w:tcW w:w="754" w:type="dxa"/>
                  <w:shd w:val="clear" w:color="auto" w:fill="auto"/>
                </w:tcPr>
                <w:p w14:paraId="45BBC2A3">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default"/>
                      <w:color w:val="auto"/>
                      <w:sz w:val="18"/>
                      <w:szCs w:val="18"/>
                    </w:rPr>
                    <w:t>0.</w:t>
                  </w:r>
                  <w:r>
                    <w:rPr>
                      <w:rFonts w:hint="eastAsia"/>
                      <w:color w:val="auto"/>
                      <w:sz w:val="18"/>
                      <w:szCs w:val="18"/>
                      <w:lang w:val="en-US" w:eastAsia="zh-CN"/>
                    </w:rPr>
                    <w:t>565</w:t>
                  </w:r>
                </w:p>
              </w:tc>
              <w:tc>
                <w:tcPr>
                  <w:tcW w:w="755" w:type="dxa"/>
                  <w:shd w:val="clear" w:color="auto" w:fill="auto"/>
                </w:tcPr>
                <w:p w14:paraId="66D7CB25">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default"/>
                      <w:color w:val="auto"/>
                      <w:sz w:val="18"/>
                      <w:szCs w:val="18"/>
                    </w:rPr>
                    <w:t>0.</w:t>
                  </w:r>
                  <w:r>
                    <w:rPr>
                      <w:rFonts w:hint="eastAsia"/>
                      <w:color w:val="auto"/>
                      <w:sz w:val="18"/>
                      <w:szCs w:val="18"/>
                      <w:lang w:val="en-US" w:eastAsia="zh-CN"/>
                    </w:rPr>
                    <w:t>565</w:t>
                  </w:r>
                </w:p>
              </w:tc>
              <w:tc>
                <w:tcPr>
                  <w:tcW w:w="754" w:type="dxa"/>
                  <w:shd w:val="clear" w:color="auto" w:fill="auto"/>
                </w:tcPr>
                <w:p w14:paraId="303BFEA0">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default"/>
                      <w:color w:val="auto"/>
                      <w:sz w:val="18"/>
                      <w:szCs w:val="18"/>
                    </w:rPr>
                    <w:t>0.</w:t>
                  </w:r>
                  <w:r>
                    <w:rPr>
                      <w:rFonts w:hint="eastAsia"/>
                      <w:color w:val="auto"/>
                      <w:sz w:val="18"/>
                      <w:szCs w:val="18"/>
                      <w:lang w:val="en-US" w:eastAsia="zh-CN"/>
                    </w:rPr>
                    <w:t>677</w:t>
                  </w:r>
                </w:p>
              </w:tc>
              <w:tc>
                <w:tcPr>
                  <w:tcW w:w="929" w:type="dxa"/>
                  <w:tcBorders>
                    <w:right w:val="single" w:color="auto" w:sz="4" w:space="0"/>
                  </w:tcBorders>
                  <w:shd w:val="clear" w:color="auto" w:fill="auto"/>
                </w:tcPr>
                <w:p w14:paraId="47DD909B">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default"/>
                      <w:color w:val="auto"/>
                      <w:sz w:val="18"/>
                      <w:szCs w:val="18"/>
                    </w:rPr>
                    <w:t>0.</w:t>
                  </w:r>
                  <w:r>
                    <w:rPr>
                      <w:rFonts w:hint="eastAsia"/>
                      <w:color w:val="auto"/>
                      <w:sz w:val="18"/>
                      <w:szCs w:val="18"/>
                      <w:lang w:val="en-US" w:eastAsia="zh-CN"/>
                    </w:rPr>
                    <w:t>226</w:t>
                  </w:r>
                </w:p>
              </w:tc>
              <w:tc>
                <w:tcPr>
                  <w:tcW w:w="1120" w:type="dxa"/>
                  <w:tcBorders>
                    <w:left w:val="single" w:color="auto" w:sz="4" w:space="0"/>
                  </w:tcBorders>
                  <w:vAlign w:val="center"/>
                </w:tcPr>
                <w:p w14:paraId="3E6081EA">
                  <w:pPr>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ascii="Times New Roman" w:hAnsi="Times New Roman" w:eastAsiaTheme="minorEastAsia"/>
                      <w:color w:val="auto"/>
                      <w:spacing w:val="1"/>
                      <w:sz w:val="18"/>
                      <w:szCs w:val="18"/>
                    </w:rPr>
                    <w:t>1.0</w:t>
                  </w:r>
                  <w:r>
                    <w:rPr>
                      <w:rFonts w:hint="eastAsia" w:eastAsiaTheme="minorEastAsia"/>
                      <w:color w:val="auto"/>
                      <w:spacing w:val="1"/>
                      <w:sz w:val="18"/>
                      <w:szCs w:val="18"/>
                      <w:lang w:val="en-US" w:eastAsia="zh-CN"/>
                    </w:rPr>
                    <w:t>14</w:t>
                  </w:r>
                  <w:r>
                    <w:rPr>
                      <w:rFonts w:hint="default" w:ascii="Times New Roman" w:hAnsi="Times New Roman" w:eastAsiaTheme="minorEastAsia"/>
                      <w:color w:val="auto"/>
                      <w:spacing w:val="1"/>
                      <w:sz w:val="18"/>
                      <w:szCs w:val="18"/>
                    </w:rPr>
                    <w:t>×10</w:t>
                  </w:r>
                  <w:r>
                    <w:rPr>
                      <w:rFonts w:hint="eastAsia" w:ascii="Times New Roman" w:hAnsi="Times New Roman" w:eastAsiaTheme="minorEastAsia"/>
                      <w:color w:val="auto"/>
                      <w:spacing w:val="1"/>
                      <w:sz w:val="18"/>
                      <w:szCs w:val="18"/>
                      <w:vertAlign w:val="superscript"/>
                    </w:rPr>
                    <w:t>1</w:t>
                  </w:r>
                  <w:r>
                    <w:rPr>
                      <w:rFonts w:hint="eastAsia" w:ascii="Times New Roman" w:hAnsi="Times New Roman" w:eastAsiaTheme="minorEastAsia"/>
                      <w:color w:val="auto"/>
                      <w:spacing w:val="1"/>
                      <w:sz w:val="18"/>
                      <w:szCs w:val="18"/>
                      <w:vertAlign w:val="superscript"/>
                      <w:lang w:val="en-US" w:eastAsia="zh-CN"/>
                    </w:rPr>
                    <w:t>2</w:t>
                  </w:r>
                </w:p>
              </w:tc>
            </w:tr>
            <w:tr w14:paraId="6E24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85" w:type="dxa"/>
                  <w:gridSpan w:val="3"/>
                  <w:vAlign w:val="center"/>
                </w:tcPr>
                <w:p w14:paraId="437623EE">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医院污水处理站处理效率(%)</w:t>
                  </w:r>
                </w:p>
              </w:tc>
              <w:tc>
                <w:tcPr>
                  <w:tcW w:w="754" w:type="dxa"/>
                  <w:vAlign w:val="center"/>
                </w:tcPr>
                <w:p w14:paraId="1E0B4F99">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16.67</w:t>
                  </w:r>
                </w:p>
              </w:tc>
              <w:tc>
                <w:tcPr>
                  <w:tcW w:w="755" w:type="dxa"/>
                  <w:vAlign w:val="center"/>
                </w:tcPr>
                <w:p w14:paraId="13B03173">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33.33</w:t>
                  </w:r>
                </w:p>
              </w:tc>
              <w:tc>
                <w:tcPr>
                  <w:tcW w:w="754" w:type="dxa"/>
                  <w:vAlign w:val="center"/>
                </w:tcPr>
                <w:p w14:paraId="11B60B01">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50.00</w:t>
                  </w:r>
                </w:p>
              </w:tc>
              <w:tc>
                <w:tcPr>
                  <w:tcW w:w="929" w:type="dxa"/>
                  <w:tcBorders>
                    <w:right w:val="single" w:color="auto" w:sz="4" w:space="0"/>
                  </w:tcBorders>
                  <w:vAlign w:val="center"/>
                </w:tcPr>
                <w:p w14:paraId="679859A7">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4</w:t>
                  </w:r>
                  <w:r>
                    <w:rPr>
                      <w:rFonts w:hint="default"/>
                      <w:color w:val="auto"/>
                      <w:sz w:val="18"/>
                      <w:szCs w:val="18"/>
                    </w:rPr>
                    <w:t>0</w:t>
                  </w:r>
                  <w:r>
                    <w:rPr>
                      <w:rFonts w:hint="eastAsia"/>
                      <w:color w:val="auto"/>
                      <w:sz w:val="18"/>
                      <w:szCs w:val="18"/>
                    </w:rPr>
                    <w:t>.00</w:t>
                  </w:r>
                </w:p>
              </w:tc>
              <w:tc>
                <w:tcPr>
                  <w:tcW w:w="1120" w:type="dxa"/>
                  <w:tcBorders>
                    <w:left w:val="single" w:color="auto" w:sz="4" w:space="0"/>
                  </w:tcBorders>
                  <w:vAlign w:val="center"/>
                </w:tcPr>
                <w:p w14:paraId="05760D73">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99.67</w:t>
                  </w:r>
                </w:p>
              </w:tc>
            </w:tr>
            <w:tr w14:paraId="0A6E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85" w:type="dxa"/>
                  <w:gridSpan w:val="3"/>
                  <w:vAlign w:val="center"/>
                </w:tcPr>
                <w:p w14:paraId="0A82C23C">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(GB18466-2005)预处理标准</w:t>
                  </w:r>
                </w:p>
              </w:tc>
              <w:tc>
                <w:tcPr>
                  <w:tcW w:w="754" w:type="dxa"/>
                  <w:vAlign w:val="center"/>
                </w:tcPr>
                <w:p w14:paraId="5438B8A9">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≤250</w:t>
                  </w:r>
                </w:p>
              </w:tc>
              <w:tc>
                <w:tcPr>
                  <w:tcW w:w="755" w:type="dxa"/>
                  <w:vAlign w:val="center"/>
                </w:tcPr>
                <w:p w14:paraId="6F74FBD3">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default"/>
                      <w:color w:val="auto"/>
                      <w:sz w:val="18"/>
                      <w:szCs w:val="18"/>
                    </w:rPr>
                    <w:t>100</w:t>
                  </w:r>
                </w:p>
              </w:tc>
              <w:tc>
                <w:tcPr>
                  <w:tcW w:w="754" w:type="dxa"/>
                  <w:vAlign w:val="center"/>
                </w:tcPr>
                <w:p w14:paraId="5FC0BA44">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default"/>
                      <w:color w:val="auto"/>
                      <w:sz w:val="18"/>
                      <w:szCs w:val="18"/>
                    </w:rPr>
                    <w:t>60</w:t>
                  </w:r>
                </w:p>
              </w:tc>
              <w:tc>
                <w:tcPr>
                  <w:tcW w:w="929" w:type="dxa"/>
                  <w:tcBorders>
                    <w:right w:val="single" w:color="auto" w:sz="4" w:space="0"/>
                  </w:tcBorders>
                  <w:vAlign w:val="center"/>
                </w:tcPr>
                <w:p w14:paraId="21EA4A3D">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w:t>
                  </w:r>
                </w:p>
              </w:tc>
              <w:tc>
                <w:tcPr>
                  <w:tcW w:w="1120" w:type="dxa"/>
                  <w:tcBorders>
                    <w:left w:val="single" w:color="auto" w:sz="4" w:space="0"/>
                  </w:tcBorders>
                  <w:vAlign w:val="center"/>
                </w:tcPr>
                <w:p w14:paraId="40C0C711">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default"/>
                      <w:color w:val="auto"/>
                      <w:sz w:val="18"/>
                      <w:szCs w:val="18"/>
                    </w:rPr>
                    <w:t>5000</w:t>
                  </w:r>
                </w:p>
              </w:tc>
            </w:tr>
            <w:tr w14:paraId="7155C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85" w:type="dxa"/>
                  <w:gridSpan w:val="3"/>
                  <w:vAlign w:val="center"/>
                </w:tcPr>
                <w:p w14:paraId="614B1F31">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达州</w:t>
                  </w:r>
                  <w:r>
                    <w:rPr>
                      <w:rFonts w:hint="default"/>
                      <w:color w:val="auto"/>
                      <w:sz w:val="18"/>
                      <w:szCs w:val="18"/>
                    </w:rPr>
                    <w:t>市生活污水处理厂进水指标要求</w:t>
                  </w:r>
                </w:p>
              </w:tc>
              <w:tc>
                <w:tcPr>
                  <w:tcW w:w="754" w:type="dxa"/>
                  <w:vAlign w:val="center"/>
                </w:tcPr>
                <w:p w14:paraId="40D4D505">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default"/>
                      <w:color w:val="auto"/>
                      <w:sz w:val="18"/>
                      <w:szCs w:val="18"/>
                    </w:rPr>
                    <w:t>400</w:t>
                  </w:r>
                </w:p>
              </w:tc>
              <w:tc>
                <w:tcPr>
                  <w:tcW w:w="755" w:type="dxa"/>
                  <w:vAlign w:val="center"/>
                </w:tcPr>
                <w:p w14:paraId="1CD4B305">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default"/>
                      <w:color w:val="auto"/>
                      <w:sz w:val="18"/>
                      <w:szCs w:val="18"/>
                    </w:rPr>
                    <w:t>300</w:t>
                  </w:r>
                </w:p>
              </w:tc>
              <w:tc>
                <w:tcPr>
                  <w:tcW w:w="754" w:type="dxa"/>
                  <w:vAlign w:val="center"/>
                </w:tcPr>
                <w:p w14:paraId="7A28F7F8">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default"/>
                      <w:color w:val="auto"/>
                      <w:sz w:val="18"/>
                      <w:szCs w:val="18"/>
                    </w:rPr>
                    <w:t>250</w:t>
                  </w:r>
                </w:p>
              </w:tc>
              <w:tc>
                <w:tcPr>
                  <w:tcW w:w="929" w:type="dxa"/>
                  <w:tcBorders>
                    <w:right w:val="single" w:color="auto" w:sz="4" w:space="0"/>
                  </w:tcBorders>
                  <w:vAlign w:val="center"/>
                </w:tcPr>
                <w:p w14:paraId="1A7B8B79">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default"/>
                      <w:color w:val="auto"/>
                      <w:sz w:val="18"/>
                      <w:szCs w:val="18"/>
                    </w:rPr>
                    <w:t>35</w:t>
                  </w:r>
                </w:p>
              </w:tc>
              <w:tc>
                <w:tcPr>
                  <w:tcW w:w="1120" w:type="dxa"/>
                  <w:tcBorders>
                    <w:left w:val="single" w:color="auto" w:sz="4" w:space="0"/>
                  </w:tcBorders>
                  <w:vAlign w:val="center"/>
                </w:tcPr>
                <w:p w14:paraId="4E9F4D2E">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w:t>
                  </w:r>
                </w:p>
              </w:tc>
            </w:tr>
            <w:tr w14:paraId="6C79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3485" w:type="dxa"/>
                  <w:gridSpan w:val="3"/>
                  <w:vAlign w:val="center"/>
                </w:tcPr>
                <w:p w14:paraId="59F80936">
                  <w:pPr>
                    <w:pStyle w:val="6"/>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eastAsia"/>
                      <w:color w:val="auto"/>
                      <w:sz w:val="18"/>
                      <w:szCs w:val="18"/>
                    </w:rPr>
                    <w:t>达州</w:t>
                  </w:r>
                  <w:r>
                    <w:rPr>
                      <w:rFonts w:hint="default"/>
                      <w:color w:val="auto"/>
                      <w:sz w:val="18"/>
                      <w:szCs w:val="18"/>
                    </w:rPr>
                    <w:t>市生活污水处理厂排放标准</w:t>
                  </w:r>
                </w:p>
                <w:p w14:paraId="10141C30">
                  <w:pPr>
                    <w:pStyle w:val="6"/>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（GB18918-2002一级</w:t>
                  </w:r>
                  <w:r>
                    <w:rPr>
                      <w:rFonts w:hint="eastAsia"/>
                      <w:color w:val="auto"/>
                      <w:sz w:val="18"/>
                      <w:szCs w:val="18"/>
                    </w:rPr>
                    <w:t>A</w:t>
                  </w:r>
                  <w:r>
                    <w:rPr>
                      <w:rFonts w:hint="default"/>
                      <w:color w:val="auto"/>
                      <w:sz w:val="18"/>
                      <w:szCs w:val="18"/>
                    </w:rPr>
                    <w:t>标准）</w:t>
                  </w:r>
                </w:p>
              </w:tc>
              <w:tc>
                <w:tcPr>
                  <w:tcW w:w="754" w:type="dxa"/>
                  <w:vAlign w:val="center"/>
                </w:tcPr>
                <w:p w14:paraId="2B12EBCE">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eastAsia"/>
                      <w:color w:val="auto"/>
                      <w:sz w:val="18"/>
                      <w:szCs w:val="18"/>
                    </w:rPr>
                    <w:t>50</w:t>
                  </w:r>
                </w:p>
              </w:tc>
              <w:tc>
                <w:tcPr>
                  <w:tcW w:w="755" w:type="dxa"/>
                  <w:tcBorders>
                    <w:right w:val="single" w:color="auto" w:sz="4" w:space="0"/>
                  </w:tcBorders>
                  <w:vAlign w:val="center"/>
                </w:tcPr>
                <w:p w14:paraId="6ABCD874">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eastAsia"/>
                      <w:color w:val="auto"/>
                      <w:sz w:val="18"/>
                      <w:szCs w:val="18"/>
                    </w:rPr>
                    <w:t>1</w:t>
                  </w:r>
                  <w:r>
                    <w:rPr>
                      <w:rFonts w:hint="default"/>
                      <w:color w:val="auto"/>
                      <w:sz w:val="18"/>
                      <w:szCs w:val="18"/>
                    </w:rPr>
                    <w:t>0</w:t>
                  </w:r>
                </w:p>
              </w:tc>
              <w:tc>
                <w:tcPr>
                  <w:tcW w:w="754" w:type="dxa"/>
                  <w:tcBorders>
                    <w:left w:val="single" w:color="auto" w:sz="4" w:space="0"/>
                  </w:tcBorders>
                  <w:vAlign w:val="center"/>
                </w:tcPr>
                <w:p w14:paraId="3E4384DD">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eastAsia"/>
                      <w:color w:val="auto"/>
                      <w:sz w:val="18"/>
                      <w:szCs w:val="18"/>
                    </w:rPr>
                    <w:t>1</w:t>
                  </w:r>
                  <w:r>
                    <w:rPr>
                      <w:rFonts w:hint="default"/>
                      <w:color w:val="auto"/>
                      <w:sz w:val="18"/>
                      <w:szCs w:val="18"/>
                    </w:rPr>
                    <w:t>0</w:t>
                  </w:r>
                </w:p>
              </w:tc>
              <w:tc>
                <w:tcPr>
                  <w:tcW w:w="929" w:type="dxa"/>
                  <w:tcBorders>
                    <w:right w:val="single" w:color="auto" w:sz="4" w:space="0"/>
                  </w:tcBorders>
                  <w:vAlign w:val="center"/>
                </w:tcPr>
                <w:p w14:paraId="38660360">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eastAsia"/>
                      <w:color w:val="auto"/>
                      <w:sz w:val="18"/>
                      <w:szCs w:val="18"/>
                    </w:rPr>
                    <w:t>5（8）</w:t>
                  </w:r>
                </w:p>
              </w:tc>
              <w:tc>
                <w:tcPr>
                  <w:tcW w:w="1120" w:type="dxa"/>
                  <w:tcBorders>
                    <w:left w:val="single" w:color="auto" w:sz="4" w:space="0"/>
                  </w:tcBorders>
                  <w:vAlign w:val="center"/>
                </w:tcPr>
                <w:p w14:paraId="42739FAA">
                  <w:pPr>
                    <w:pStyle w:val="6"/>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lang w:val="en-GB"/>
                    </w:rPr>
                    <w:t>≤</w:t>
                  </w:r>
                  <w:r>
                    <w:rPr>
                      <w:rFonts w:hint="default"/>
                      <w:color w:val="auto"/>
                      <w:sz w:val="18"/>
                      <w:szCs w:val="18"/>
                    </w:rPr>
                    <w:t>1000</w:t>
                  </w:r>
                </w:p>
              </w:tc>
            </w:tr>
            <w:tr w14:paraId="0A2F1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485" w:type="dxa"/>
                  <w:gridSpan w:val="3"/>
                  <w:vAlign w:val="center"/>
                </w:tcPr>
                <w:p w14:paraId="6BED66B4">
                  <w:pPr>
                    <w:pStyle w:val="6"/>
                    <w:keepNext w:val="0"/>
                    <w:keepLines w:val="0"/>
                    <w:suppressLineNumbers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经污水厂处理后最终外排环境量</w:t>
                  </w:r>
                </w:p>
              </w:tc>
              <w:tc>
                <w:tcPr>
                  <w:tcW w:w="754" w:type="dxa"/>
                  <w:vAlign w:val="center"/>
                </w:tcPr>
                <w:p w14:paraId="5025F3D4">
                  <w:pPr>
                    <w:keepNext w:val="0"/>
                    <w:keepLines w:val="0"/>
                    <w:suppressLineNumbers w:val="0"/>
                    <w:snapToGrid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rPr>
                    <w:t>0.</w:t>
                  </w:r>
                  <w:r>
                    <w:rPr>
                      <w:rFonts w:hint="eastAsia"/>
                      <w:color w:val="auto"/>
                      <w:sz w:val="18"/>
                      <w:szCs w:val="18"/>
                      <w:lang w:val="en-US" w:eastAsia="zh-CN"/>
                    </w:rPr>
                    <w:t>565</w:t>
                  </w:r>
                </w:p>
              </w:tc>
              <w:tc>
                <w:tcPr>
                  <w:tcW w:w="755" w:type="dxa"/>
                  <w:tcBorders>
                    <w:right w:val="single" w:color="auto" w:sz="4" w:space="0"/>
                  </w:tcBorders>
                  <w:vAlign w:val="center"/>
                </w:tcPr>
                <w:p w14:paraId="74465130">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0.</w:t>
                  </w:r>
                  <w:r>
                    <w:rPr>
                      <w:rFonts w:hint="eastAsia"/>
                      <w:color w:val="auto"/>
                      <w:sz w:val="18"/>
                      <w:szCs w:val="18"/>
                      <w:lang w:val="en-US" w:eastAsia="zh-CN"/>
                    </w:rPr>
                    <w:t>113</w:t>
                  </w:r>
                  <w:r>
                    <w:rPr>
                      <w:rFonts w:hint="default"/>
                      <w:color w:val="auto"/>
                      <w:sz w:val="18"/>
                      <w:szCs w:val="18"/>
                    </w:rPr>
                    <w:t xml:space="preserve"> </w:t>
                  </w:r>
                </w:p>
              </w:tc>
              <w:tc>
                <w:tcPr>
                  <w:tcW w:w="754" w:type="dxa"/>
                  <w:tcBorders>
                    <w:left w:val="single" w:color="auto" w:sz="4" w:space="0"/>
                  </w:tcBorders>
                  <w:vAlign w:val="center"/>
                </w:tcPr>
                <w:p w14:paraId="0330A73C">
                  <w:pPr>
                    <w:keepNext w:val="0"/>
                    <w:keepLines w:val="0"/>
                    <w:suppressLineNumbers w:val="0"/>
                    <w:snapToGrid w:val="0"/>
                    <w:spacing w:before="0" w:beforeAutospacing="0" w:after="0" w:afterAutospacing="0" w:line="300" w:lineRule="exact"/>
                    <w:ind w:left="0" w:right="0"/>
                    <w:jc w:val="center"/>
                    <w:rPr>
                      <w:rFonts w:hint="default"/>
                      <w:color w:val="auto"/>
                      <w:sz w:val="18"/>
                      <w:szCs w:val="18"/>
                    </w:rPr>
                  </w:pPr>
                  <w:r>
                    <w:rPr>
                      <w:rFonts w:hint="default"/>
                      <w:color w:val="auto"/>
                      <w:sz w:val="18"/>
                      <w:szCs w:val="18"/>
                    </w:rPr>
                    <w:t>0.</w:t>
                  </w:r>
                  <w:r>
                    <w:rPr>
                      <w:rFonts w:hint="eastAsia"/>
                      <w:color w:val="auto"/>
                      <w:sz w:val="18"/>
                      <w:szCs w:val="18"/>
                      <w:lang w:val="en-US" w:eastAsia="zh-CN"/>
                    </w:rPr>
                    <w:t>178</w:t>
                  </w:r>
                  <w:r>
                    <w:rPr>
                      <w:rFonts w:hint="default"/>
                      <w:color w:val="auto"/>
                      <w:sz w:val="18"/>
                      <w:szCs w:val="18"/>
                    </w:rPr>
                    <w:t xml:space="preserve"> </w:t>
                  </w:r>
                </w:p>
              </w:tc>
              <w:tc>
                <w:tcPr>
                  <w:tcW w:w="929" w:type="dxa"/>
                  <w:tcBorders>
                    <w:right w:val="single" w:color="auto" w:sz="4" w:space="0"/>
                  </w:tcBorders>
                  <w:vAlign w:val="center"/>
                </w:tcPr>
                <w:p w14:paraId="1603C76F">
                  <w:pPr>
                    <w:keepNext w:val="0"/>
                    <w:keepLines w:val="0"/>
                    <w:suppressLineNumbers w:val="0"/>
                    <w:snapToGrid w:val="0"/>
                    <w:spacing w:before="0" w:beforeAutospacing="0" w:after="0" w:afterAutospacing="0" w:line="300" w:lineRule="exact"/>
                    <w:ind w:left="0" w:right="0"/>
                    <w:jc w:val="center"/>
                    <w:rPr>
                      <w:rFonts w:hint="default" w:eastAsia="宋体"/>
                      <w:color w:val="auto"/>
                      <w:sz w:val="18"/>
                      <w:szCs w:val="18"/>
                      <w:lang w:val="en-US" w:eastAsia="zh-CN"/>
                    </w:rPr>
                  </w:pPr>
                  <w:r>
                    <w:rPr>
                      <w:rFonts w:hint="default"/>
                      <w:color w:val="auto"/>
                      <w:sz w:val="18"/>
                      <w:szCs w:val="18"/>
                    </w:rPr>
                    <w:t>0.</w:t>
                  </w:r>
                  <w:r>
                    <w:rPr>
                      <w:rFonts w:hint="eastAsia"/>
                      <w:color w:val="auto"/>
                      <w:sz w:val="18"/>
                      <w:szCs w:val="18"/>
                    </w:rPr>
                    <w:t>0</w:t>
                  </w:r>
                  <w:r>
                    <w:rPr>
                      <w:rFonts w:hint="eastAsia"/>
                      <w:color w:val="auto"/>
                      <w:sz w:val="18"/>
                      <w:szCs w:val="18"/>
                      <w:lang w:val="en-US" w:eastAsia="zh-CN"/>
                    </w:rPr>
                    <w:t>565</w:t>
                  </w:r>
                </w:p>
              </w:tc>
              <w:tc>
                <w:tcPr>
                  <w:tcW w:w="1120" w:type="dxa"/>
                  <w:tcBorders>
                    <w:left w:val="single" w:color="auto" w:sz="4" w:space="0"/>
                  </w:tcBorders>
                  <w:vAlign w:val="center"/>
                </w:tcPr>
                <w:p w14:paraId="17D4FFE2">
                  <w:pPr>
                    <w:keepNext w:val="0"/>
                    <w:keepLines w:val="0"/>
                    <w:suppressLineNumbers w:val="0"/>
                    <w:spacing w:before="0" w:beforeAutospacing="0" w:after="0" w:afterAutospacing="0" w:line="300" w:lineRule="exact"/>
                    <w:ind w:left="0" w:right="0"/>
                    <w:jc w:val="center"/>
                    <w:rPr>
                      <w:rFonts w:hint="default" w:eastAsia="宋体"/>
                      <w:color w:val="auto"/>
                      <w:sz w:val="18"/>
                      <w:szCs w:val="18"/>
                      <w:lang w:val="en-US" w:eastAsia="zh-CN"/>
                    </w:rPr>
                  </w:pPr>
                  <w:r>
                    <w:rPr>
                      <w:rFonts w:hint="eastAsia"/>
                      <w:color w:val="auto"/>
                      <w:sz w:val="18"/>
                      <w:szCs w:val="18"/>
                      <w:lang w:val="en-US" w:eastAsia="zh-CN"/>
                    </w:rPr>
                    <w:t>1.129</w:t>
                  </w:r>
                  <w:r>
                    <w:rPr>
                      <w:rFonts w:hint="default"/>
                      <w:color w:val="auto"/>
                      <w:sz w:val="18"/>
                      <w:szCs w:val="18"/>
                    </w:rPr>
                    <w:t>×10</w:t>
                  </w:r>
                  <w:r>
                    <w:rPr>
                      <w:rFonts w:hint="eastAsia"/>
                      <w:color w:val="auto"/>
                      <w:sz w:val="18"/>
                      <w:szCs w:val="18"/>
                      <w:vertAlign w:val="superscript"/>
                      <w:lang w:val="en-US" w:eastAsia="zh-CN"/>
                    </w:rPr>
                    <w:t>10</w:t>
                  </w:r>
                </w:p>
              </w:tc>
            </w:tr>
          </w:tbl>
          <w:p w14:paraId="62B70CE8">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default"/>
                <w:color w:val="auto"/>
                <w:szCs w:val="21"/>
              </w:rPr>
              <w:t>由上表可知，本项目废水经自建污水处理站处理后，出水水质能够达到《医疗机构水污染物排放标准》（GB18466-2005）表2中的预处理标准，能够实现达标排放。</w:t>
            </w:r>
          </w:p>
          <w:p w14:paraId="66D3549F">
            <w:pPr>
              <w:keepNext w:val="0"/>
              <w:keepLines w:val="0"/>
              <w:suppressLineNumbers w:val="0"/>
              <w:autoSpaceDE w:val="0"/>
              <w:autoSpaceDN w:val="0"/>
              <w:adjustRightInd w:val="0"/>
              <w:snapToGrid w:val="0"/>
              <w:spacing w:before="0" w:beforeAutospacing="0" w:after="0" w:afterAutospacing="0" w:line="400" w:lineRule="exact"/>
              <w:ind w:left="0" w:right="0" w:firstLine="422" w:firstLineChars="200"/>
              <w:jc w:val="left"/>
              <w:rPr>
                <w:rFonts w:hint="default"/>
                <w:b/>
                <w:color w:val="auto"/>
              </w:rPr>
            </w:pPr>
            <w:r>
              <w:rPr>
                <w:rFonts w:hint="eastAsia" w:ascii="宋体" w:hAnsi="宋体"/>
                <w:b/>
                <w:color w:val="auto"/>
              </w:rPr>
              <w:t>3</w:t>
            </w:r>
            <w:r>
              <w:rPr>
                <w:rFonts w:hint="default" w:ascii="宋体" w:hAnsi="宋体"/>
                <w:b/>
                <w:color w:val="auto"/>
              </w:rPr>
              <w:t>）消毒工艺</w:t>
            </w:r>
          </w:p>
          <w:p w14:paraId="554AB4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4" w:lineRule="exact"/>
              <w:ind w:left="0" w:right="0" w:firstLine="420" w:firstLineChars="200"/>
              <w:jc w:val="left"/>
              <w:textAlignment w:val="auto"/>
              <w:rPr>
                <w:rFonts w:hint="default"/>
                <w:color w:val="auto"/>
              </w:rPr>
            </w:pPr>
            <w:r>
              <w:rPr>
                <w:rFonts w:hint="default" w:ascii="宋体" w:hAnsi="宋体"/>
                <w:color w:val="auto"/>
              </w:rPr>
              <w:t>医院废水消毒是医院污水处理的重要工艺过程，其目的是杀灭污水中的各种致病菌。根据《医院污水处理工程技术规范（</w:t>
            </w:r>
            <w:r>
              <w:rPr>
                <w:rFonts w:hint="default"/>
                <w:color w:val="auto"/>
              </w:rPr>
              <w:t>HJ2029-2013</w:t>
            </w:r>
            <w:r>
              <w:rPr>
                <w:rFonts w:hint="default" w:ascii="宋体" w:hAnsi="宋体"/>
                <w:color w:val="auto"/>
              </w:rPr>
              <w:t>）》，医院采用的消毒方法有氯气、次氯酸钠、二氧化氯、紫外、臭氧消毒工艺，均能满足《医疗机构水污染物排放标准》（</w:t>
            </w:r>
            <w:r>
              <w:rPr>
                <w:rFonts w:hint="default"/>
                <w:color w:val="auto"/>
              </w:rPr>
              <w:t>GB18466-2005</w:t>
            </w:r>
            <w:r>
              <w:rPr>
                <w:rFonts w:hint="default" w:ascii="宋体" w:hAnsi="宋体"/>
                <w:color w:val="auto"/>
              </w:rPr>
              <w:t>）对医院污水消毒的需要。</w:t>
            </w:r>
          </w:p>
          <w:p w14:paraId="12DACFC1">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本项目选择</w:t>
            </w:r>
            <w:r>
              <w:rPr>
                <w:rFonts w:hint="eastAsia"/>
                <w:color w:val="auto"/>
                <w:szCs w:val="21"/>
                <w:lang w:val="en-US" w:eastAsia="zh-CN"/>
              </w:rPr>
              <w:t>成品氯片</w:t>
            </w:r>
            <w:r>
              <w:rPr>
                <w:rFonts w:hint="eastAsia"/>
                <w:color w:val="auto"/>
                <w:szCs w:val="21"/>
              </w:rPr>
              <w:t>，其特点为转化率高，结构合理，安全可靠性强，环境风险小，操作简单，并可根据需求实现自动化运行。</w:t>
            </w:r>
          </w:p>
          <w:p w14:paraId="6B8325F9">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2" w:firstLineChars="200"/>
              <w:textAlignment w:val="auto"/>
              <w:rPr>
                <w:rFonts w:hint="default"/>
                <w:b/>
                <w:color w:val="auto"/>
                <w:szCs w:val="21"/>
              </w:rPr>
            </w:pPr>
            <w:r>
              <w:rPr>
                <w:rFonts w:hint="eastAsia"/>
                <w:b/>
                <w:color w:val="auto"/>
                <w:szCs w:val="21"/>
              </w:rPr>
              <w:t>4）事故应急</w:t>
            </w:r>
          </w:p>
          <w:p w14:paraId="0B56CEAF">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根据《医院污水处理工程技术规范》(HJ2029-2013)：“12.4.1、医院污水处理工程应设应急事故池，以贮存处理系统事故或其他突发事件时医院污水。非传染病医院污水处理工程应急事故池容积不小于日排放量的30%。”本项目废水排放量</w:t>
            </w:r>
            <w:r>
              <w:rPr>
                <w:rFonts w:hint="eastAsia"/>
                <w:color w:val="auto"/>
                <w:szCs w:val="21"/>
                <w:lang w:val="en-US" w:eastAsia="zh-CN"/>
              </w:rPr>
              <w:t>30.94</w:t>
            </w:r>
            <w:r>
              <w:rPr>
                <w:rFonts w:hint="eastAsia"/>
                <w:color w:val="auto"/>
                <w:szCs w:val="21"/>
              </w:rPr>
              <w:t>m</w:t>
            </w:r>
            <w:r>
              <w:rPr>
                <w:rFonts w:hint="eastAsia"/>
                <w:color w:val="auto"/>
                <w:szCs w:val="21"/>
                <w:vertAlign w:val="superscript"/>
              </w:rPr>
              <w:t>3</w:t>
            </w:r>
            <w:r>
              <w:rPr>
                <w:rFonts w:hint="eastAsia"/>
                <w:color w:val="auto"/>
                <w:szCs w:val="21"/>
              </w:rPr>
              <w:t>/d</w:t>
            </w:r>
            <w:r>
              <w:rPr>
                <w:rFonts w:hint="eastAsia"/>
                <w:color w:val="auto"/>
                <w:szCs w:val="21"/>
                <w:lang w:eastAsia="zh-CN"/>
              </w:rPr>
              <w:t>（</w:t>
            </w:r>
            <w:r>
              <w:rPr>
                <w:rFonts w:hint="eastAsia"/>
                <w:color w:val="auto"/>
                <w:szCs w:val="21"/>
                <w:lang w:val="en-US" w:eastAsia="zh-CN"/>
              </w:rPr>
              <w:t>除属于清净下水的纯水制备产生的废水</w:t>
            </w:r>
            <w:r>
              <w:rPr>
                <w:rFonts w:hint="eastAsia"/>
                <w:color w:val="auto"/>
                <w:szCs w:val="21"/>
                <w:lang w:eastAsia="zh-CN"/>
              </w:rPr>
              <w:t>）</w:t>
            </w:r>
            <w:r>
              <w:rPr>
                <w:rFonts w:hint="eastAsia"/>
                <w:color w:val="auto"/>
                <w:szCs w:val="21"/>
              </w:rPr>
              <w:t>，事故池容积应不小于</w:t>
            </w:r>
            <w:r>
              <w:rPr>
                <w:rFonts w:hint="eastAsia"/>
                <w:color w:val="auto"/>
                <w:szCs w:val="21"/>
                <w:lang w:val="en-US" w:eastAsia="zh-CN"/>
              </w:rPr>
              <w:t>9</w:t>
            </w:r>
            <w:r>
              <w:rPr>
                <w:rFonts w:hint="eastAsia"/>
                <w:color w:val="auto"/>
                <w:szCs w:val="21"/>
              </w:rPr>
              <w:t>.3m</w:t>
            </w:r>
            <w:r>
              <w:rPr>
                <w:rFonts w:hint="eastAsia"/>
                <w:color w:val="auto"/>
                <w:szCs w:val="21"/>
                <w:vertAlign w:val="superscript"/>
              </w:rPr>
              <w:t>3</w:t>
            </w:r>
            <w:r>
              <w:rPr>
                <w:rFonts w:hint="eastAsia"/>
                <w:color w:val="auto"/>
                <w:szCs w:val="21"/>
              </w:rPr>
              <w:t>。结合实际，项目水量较小且废水站前端设计有初沉池、调节池，均具有调节水量的功能，在设计时可将初沉池、调节池容积适当增大，兼做事故应急池使用，以应对事故状态废水处理要求。同时，项目配套建设完善的排水系统、切换系统及污水提升装置，以应对因管道破裂、泵设备损坏或失效、人为操作失误等事故，确保事故污水全部收集至污水处理系统。</w:t>
            </w:r>
          </w:p>
          <w:p w14:paraId="4EC47772">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（4）依托污水处理设施的环境可行性</w:t>
            </w:r>
          </w:p>
          <w:p w14:paraId="2BA59A19">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eastAsia" w:ascii="宋体" w:hAnsi="宋体"/>
                <w:color w:val="auto"/>
              </w:rPr>
            </w:pPr>
            <w:r>
              <w:rPr>
                <w:rFonts w:hint="eastAsia" w:ascii="宋体" w:hAnsi="宋体"/>
                <w:color w:val="auto"/>
                <w:lang w:val="en-US" w:eastAsia="zh-CN"/>
              </w:rPr>
              <w:t>经调查，通川区罗江镇污水处理厂位于罗江镇场镇下游州河右岸罗江大桥旁，于2013年建成投入运行，采用CASS工艺，设计处理规模2000m</w:t>
            </w:r>
            <w:r>
              <w:rPr>
                <w:rFonts w:hint="eastAsia" w:ascii="宋体" w:hAnsi="宋体"/>
                <w:color w:val="auto"/>
                <w:vertAlign w:val="superscript"/>
                <w:lang w:val="en-US" w:eastAsia="zh-CN"/>
              </w:rPr>
              <w:t>3</w:t>
            </w:r>
            <w:r>
              <w:rPr>
                <w:rFonts w:hint="eastAsia" w:ascii="宋体" w:hAnsi="宋体"/>
                <w:color w:val="auto"/>
                <w:lang w:val="en-US" w:eastAsia="zh-CN"/>
              </w:rPr>
              <w:t>/d。</w:t>
            </w:r>
            <w:r>
              <w:rPr>
                <w:rFonts w:hint="eastAsia" w:ascii="宋体" w:hAnsi="宋体"/>
                <w:color w:val="auto"/>
              </w:rPr>
              <w:t>采用“提升泵</w:t>
            </w:r>
            <w:r>
              <w:rPr>
                <w:rFonts w:hint="eastAsia" w:ascii="宋体" w:hAnsi="宋体"/>
                <w:color w:val="auto"/>
                <w:lang w:val="en-US" w:eastAsia="zh-CN"/>
              </w:rPr>
              <w:t>池</w:t>
            </w:r>
            <w:r>
              <w:rPr>
                <w:rFonts w:hint="default"/>
                <w:color w:val="auto"/>
              </w:rPr>
              <w:t>+</w:t>
            </w:r>
            <w:r>
              <w:rPr>
                <w:rFonts w:hint="eastAsia" w:ascii="宋体" w:hAnsi="宋体"/>
                <w:color w:val="auto"/>
              </w:rPr>
              <w:t>粗格栅</w:t>
            </w:r>
            <w:r>
              <w:rPr>
                <w:rFonts w:hint="default"/>
                <w:color w:val="auto"/>
              </w:rPr>
              <w:t>+</w:t>
            </w:r>
            <w:r>
              <w:rPr>
                <w:rFonts w:hint="eastAsia" w:ascii="宋体" w:hAnsi="宋体"/>
                <w:color w:val="auto"/>
              </w:rPr>
              <w:t>细格栅</w:t>
            </w:r>
            <w:r>
              <w:rPr>
                <w:rFonts w:hint="default"/>
                <w:color w:val="auto"/>
              </w:rPr>
              <w:t>+</w:t>
            </w:r>
            <w:r>
              <w:rPr>
                <w:rFonts w:hint="eastAsia" w:ascii="宋体" w:hAnsi="宋体"/>
                <w:color w:val="auto"/>
                <w:lang w:val="en-US" w:eastAsia="zh-CN"/>
              </w:rPr>
              <w:t>调节</w:t>
            </w:r>
            <w:r>
              <w:rPr>
                <w:rFonts w:hint="eastAsia" w:ascii="宋体" w:hAnsi="宋体"/>
                <w:color w:val="auto"/>
              </w:rPr>
              <w:t>池</w:t>
            </w:r>
            <w:r>
              <w:rPr>
                <w:rFonts w:hint="default"/>
                <w:color w:val="auto"/>
              </w:rPr>
              <w:t>+</w:t>
            </w:r>
            <w:r>
              <w:rPr>
                <w:rFonts w:hint="eastAsia"/>
                <w:color w:val="auto"/>
                <w:lang w:val="en-US" w:eastAsia="zh-CN"/>
              </w:rPr>
              <w:t>CASS反应池</w:t>
            </w:r>
            <w:r>
              <w:rPr>
                <w:rFonts w:hint="default"/>
                <w:color w:val="auto"/>
              </w:rPr>
              <w:t>+</w:t>
            </w:r>
            <w:r>
              <w:rPr>
                <w:rFonts w:hint="eastAsia" w:ascii="宋体" w:hAnsi="宋体"/>
                <w:color w:val="auto"/>
                <w:lang w:val="en-US" w:eastAsia="zh-CN"/>
              </w:rPr>
              <w:t>清水</w:t>
            </w:r>
            <w:r>
              <w:rPr>
                <w:rFonts w:hint="eastAsia" w:ascii="宋体" w:hAnsi="宋体"/>
                <w:color w:val="auto"/>
              </w:rPr>
              <w:t>池</w:t>
            </w:r>
            <w:r>
              <w:rPr>
                <w:rFonts w:hint="default"/>
                <w:color w:val="auto"/>
              </w:rPr>
              <w:t>+</w:t>
            </w:r>
            <w:r>
              <w:rPr>
                <w:rFonts w:hint="eastAsia"/>
                <w:color w:val="auto"/>
                <w:lang w:val="en-US" w:eastAsia="zh-CN"/>
              </w:rPr>
              <w:t>压差式过滤器</w:t>
            </w:r>
            <w:r>
              <w:rPr>
                <w:rFonts w:hint="default"/>
                <w:color w:val="auto"/>
              </w:rPr>
              <w:t>+</w:t>
            </w:r>
            <w:r>
              <w:rPr>
                <w:rFonts w:hint="eastAsia" w:ascii="宋体" w:hAnsi="宋体"/>
                <w:color w:val="auto"/>
              </w:rPr>
              <w:t>紫外线消毒”工艺，设计出水为《城镇污水处理厂污染物排放标准》一级</w:t>
            </w:r>
            <w:r>
              <w:rPr>
                <w:rFonts w:hint="default"/>
                <w:color w:val="auto"/>
              </w:rPr>
              <w:t xml:space="preserve">A </w:t>
            </w:r>
            <w:r>
              <w:rPr>
                <w:rFonts w:hint="eastAsia" w:ascii="宋体" w:hAnsi="宋体"/>
                <w:color w:val="auto"/>
              </w:rPr>
              <w:t>标。服务范围</w:t>
            </w:r>
            <w:r>
              <w:rPr>
                <w:rFonts w:hint="eastAsia" w:ascii="宋体" w:hAnsi="宋体"/>
                <w:color w:val="auto"/>
                <w:lang w:val="en-US" w:eastAsia="zh-CN"/>
              </w:rPr>
              <w:t>主要为罗江镇场镇范围</w:t>
            </w:r>
            <w:r>
              <w:rPr>
                <w:rFonts w:hint="eastAsia" w:ascii="宋体" w:hAnsi="宋体"/>
                <w:color w:val="auto"/>
              </w:rPr>
              <w:t>，主要收集居民生活污水、经预处理达到进厂水质标准的商业、医院废水等。</w:t>
            </w:r>
          </w:p>
          <w:p w14:paraId="029C82B8">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eastAsia="宋体"/>
                <w:color w:val="auto"/>
                <w:lang w:val="en-US" w:eastAsia="zh-CN"/>
              </w:rPr>
            </w:pPr>
            <w:r>
              <w:rPr>
                <w:rFonts w:hint="eastAsia" w:ascii="宋体" w:hAnsi="宋体"/>
                <w:color w:val="auto"/>
                <w:lang w:val="en-US" w:eastAsia="zh-CN"/>
              </w:rPr>
              <w:t>本项目废水依托处理的可行性如下：</w:t>
            </w:r>
          </w:p>
          <w:p w14:paraId="125C3D8B">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color w:val="auto"/>
                <w:szCs w:val="21"/>
              </w:rPr>
            </w:pPr>
            <w:r>
              <w:rPr>
                <w:rFonts w:hint="eastAsia" w:ascii="宋体" w:hAnsi="宋体" w:cs="宋体"/>
                <w:color w:val="auto"/>
                <w:szCs w:val="21"/>
              </w:rPr>
              <w:t>①</w:t>
            </w:r>
            <w:r>
              <w:rPr>
                <w:rFonts w:hint="default"/>
                <w:color w:val="auto"/>
                <w:szCs w:val="21"/>
              </w:rPr>
              <w:t>本项目位于</w:t>
            </w:r>
            <w:r>
              <w:rPr>
                <w:rFonts w:hint="eastAsia"/>
                <w:color w:val="auto"/>
                <w:szCs w:val="21"/>
                <w:lang w:val="en-US" w:eastAsia="zh-CN"/>
              </w:rPr>
              <w:t>罗江镇高石社区</w:t>
            </w:r>
            <w:r>
              <w:rPr>
                <w:rFonts w:hint="default"/>
                <w:color w:val="auto"/>
                <w:szCs w:val="21"/>
              </w:rPr>
              <w:t>，属于</w:t>
            </w:r>
            <w:r>
              <w:rPr>
                <w:rFonts w:hint="eastAsia"/>
                <w:color w:val="auto"/>
                <w:szCs w:val="21"/>
                <w:lang w:val="en-US" w:eastAsia="zh-CN"/>
              </w:rPr>
              <w:t>罗江场镇</w:t>
            </w:r>
            <w:r>
              <w:rPr>
                <w:rFonts w:hint="default"/>
                <w:color w:val="auto"/>
                <w:szCs w:val="21"/>
              </w:rPr>
              <w:t>范围，也属于</w:t>
            </w:r>
            <w:r>
              <w:rPr>
                <w:rFonts w:hint="eastAsia"/>
                <w:color w:val="auto"/>
                <w:szCs w:val="21"/>
                <w:lang w:val="en-US" w:eastAsia="zh-CN"/>
              </w:rPr>
              <w:t>罗江镇</w:t>
            </w:r>
            <w:r>
              <w:rPr>
                <w:rFonts w:hint="eastAsia"/>
                <w:color w:val="auto"/>
                <w:szCs w:val="21"/>
              </w:rPr>
              <w:t>污水处理厂的纳污范围。</w:t>
            </w:r>
          </w:p>
          <w:p w14:paraId="2CEC8FEB">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ascii="宋体" w:hAnsi="宋体" w:cs="宋体"/>
                <w:color w:val="auto"/>
                <w:szCs w:val="21"/>
              </w:rPr>
            </w:pPr>
            <w:r>
              <w:rPr>
                <w:rFonts w:hint="eastAsia"/>
                <w:color w:val="auto"/>
                <w:szCs w:val="21"/>
              </w:rPr>
              <w:t>②</w:t>
            </w:r>
            <w:r>
              <w:rPr>
                <w:rFonts w:hint="eastAsia" w:ascii="宋体" w:hAnsi="宋体" w:cs="宋体"/>
                <w:color w:val="auto"/>
                <w:szCs w:val="21"/>
              </w:rPr>
              <w:t>本项目</w:t>
            </w:r>
            <w:r>
              <w:rPr>
                <w:rFonts w:hint="eastAsia" w:ascii="宋体" w:hAnsi="宋体" w:cs="宋体"/>
                <w:color w:val="auto"/>
                <w:szCs w:val="21"/>
                <w:lang w:val="en-US" w:eastAsia="zh-CN"/>
              </w:rPr>
              <w:t>自建的</w:t>
            </w:r>
            <w:r>
              <w:rPr>
                <w:rFonts w:hint="eastAsia" w:ascii="宋体" w:hAnsi="宋体" w:cs="宋体"/>
                <w:color w:val="auto"/>
                <w:szCs w:val="21"/>
              </w:rPr>
              <w:t>污水处理站已配套建设有</w:t>
            </w:r>
            <w:r>
              <w:rPr>
                <w:rFonts w:hint="eastAsia" w:ascii="宋体" w:hAnsi="宋体" w:cs="宋体"/>
                <w:color w:val="auto"/>
                <w:szCs w:val="21"/>
                <w:lang w:val="en-US" w:eastAsia="zh-CN"/>
              </w:rPr>
              <w:t>污水管网</w:t>
            </w:r>
            <w:r>
              <w:rPr>
                <w:rFonts w:hint="eastAsia" w:ascii="宋体" w:hAnsi="宋体" w:cs="宋体"/>
                <w:color w:val="auto"/>
                <w:szCs w:val="21"/>
              </w:rPr>
              <w:t>，</w:t>
            </w:r>
            <w:r>
              <w:rPr>
                <w:rFonts w:hint="eastAsia" w:ascii="宋体" w:hAnsi="宋体" w:cs="宋体"/>
                <w:color w:val="auto"/>
                <w:szCs w:val="21"/>
                <w:lang w:val="en-US" w:eastAsia="zh-CN"/>
              </w:rPr>
              <w:t>接入罗江场镇的市政污水管网，</w:t>
            </w:r>
            <w:r>
              <w:rPr>
                <w:rFonts w:hint="eastAsia" w:ascii="宋体" w:hAnsi="宋体" w:cs="宋体"/>
                <w:color w:val="auto"/>
                <w:szCs w:val="21"/>
              </w:rPr>
              <w:t>能够</w:t>
            </w:r>
            <w:r>
              <w:rPr>
                <w:rFonts w:hint="eastAsia" w:ascii="宋体" w:hAnsi="宋体" w:cs="宋体"/>
                <w:color w:val="auto"/>
                <w:szCs w:val="21"/>
                <w:lang w:val="en-US" w:eastAsia="zh-CN"/>
              </w:rPr>
              <w:t>确保处理后的废水</w:t>
            </w:r>
            <w:r>
              <w:rPr>
                <w:rFonts w:hint="eastAsia" w:ascii="宋体" w:hAnsi="宋体" w:cs="宋体"/>
                <w:color w:val="auto"/>
                <w:szCs w:val="21"/>
              </w:rPr>
              <w:t>正常进入市政污水管网。</w:t>
            </w:r>
          </w:p>
          <w:p w14:paraId="01F84D6C">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bCs/>
                <w:color w:val="auto"/>
                <w:szCs w:val="21"/>
              </w:rPr>
            </w:pPr>
            <w:r>
              <w:rPr>
                <w:rFonts w:hint="eastAsia" w:ascii="宋体" w:hAnsi="宋体" w:cs="宋体"/>
                <w:color w:val="auto"/>
                <w:szCs w:val="21"/>
              </w:rPr>
              <w:t>③本项目废水主要为医疗废水和生活污水，经自有设施处理后能够达到</w:t>
            </w:r>
            <w:r>
              <w:rPr>
                <w:rFonts w:hint="default"/>
                <w:color w:val="auto"/>
                <w:szCs w:val="21"/>
              </w:rPr>
              <w:t>《医疗机构水污染物排放标准》（GB18466-2005）表2中的预处理标准实现达标排放，排水水质也能够满足市政管网接管水质要求。</w:t>
            </w:r>
          </w:p>
          <w:p w14:paraId="735CE1FE">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④</w:t>
            </w:r>
            <w:r>
              <w:rPr>
                <w:rFonts w:hint="eastAsia" w:ascii="宋体" w:hAnsi="宋体" w:cs="宋体"/>
                <w:color w:val="auto"/>
                <w:szCs w:val="21"/>
              </w:rPr>
              <w:t>本项目建成后废水产生量为</w:t>
            </w:r>
            <w:r>
              <w:rPr>
                <w:rFonts w:hint="eastAsia" w:cs="宋体"/>
                <w:color w:val="auto"/>
                <w:szCs w:val="21"/>
                <w:lang w:val="en-US" w:eastAsia="zh-CN"/>
              </w:rPr>
              <w:t>30.94</w:t>
            </w:r>
            <w:r>
              <w:rPr>
                <w:rFonts w:hint="eastAsia"/>
                <w:color w:val="auto"/>
                <w:szCs w:val="21"/>
              </w:rPr>
              <w:t>m</w:t>
            </w:r>
            <w:r>
              <w:rPr>
                <w:rFonts w:hint="eastAsia"/>
                <w:color w:val="auto"/>
                <w:szCs w:val="21"/>
                <w:vertAlign w:val="superscript"/>
              </w:rPr>
              <w:t>3</w:t>
            </w:r>
            <w:r>
              <w:rPr>
                <w:rFonts w:hint="eastAsia"/>
                <w:color w:val="auto"/>
                <w:szCs w:val="21"/>
              </w:rPr>
              <w:t>/d，</w:t>
            </w:r>
            <w:r>
              <w:rPr>
                <w:rFonts w:hint="default" w:cs="宋体"/>
                <w:color w:val="auto"/>
                <w:szCs w:val="21"/>
              </w:rPr>
              <w:t>仅占其现状处理能力的</w:t>
            </w:r>
            <w:r>
              <w:rPr>
                <w:rFonts w:hint="eastAsia" w:cs="宋体"/>
                <w:color w:val="auto"/>
                <w:szCs w:val="21"/>
                <w:lang w:val="en-US" w:eastAsia="zh-CN"/>
              </w:rPr>
              <w:t>1.55</w:t>
            </w:r>
            <w:r>
              <w:rPr>
                <w:rFonts w:hint="default" w:cs="宋体"/>
                <w:color w:val="auto"/>
                <w:szCs w:val="21"/>
              </w:rPr>
              <w:t>%，属于可接受程度范围之内。</w:t>
            </w:r>
          </w:p>
          <w:p w14:paraId="5F6779B0">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综上分析，建设单位只要严格落实废水处理的各项措施，营运过程加强运行管理，能够确保项目废水稳定连续达标排放，废水治理措施经济合理、技术可行。</w:t>
            </w:r>
          </w:p>
          <w:p w14:paraId="52507995">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（5）监测计划</w:t>
            </w:r>
          </w:p>
          <w:p w14:paraId="2C9A3002">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 xml:space="preserve">4-9  </w:t>
            </w:r>
            <w:r>
              <w:rPr>
                <w:rFonts w:hint="default" w:eastAsia="黑体"/>
                <w:color w:val="auto"/>
                <w:sz w:val="18"/>
                <w:szCs w:val="18"/>
              </w:rPr>
              <w:t xml:space="preserve">   营运期</w:t>
            </w:r>
            <w:r>
              <w:rPr>
                <w:rFonts w:hint="eastAsia" w:eastAsia="黑体"/>
                <w:color w:val="auto"/>
                <w:sz w:val="18"/>
                <w:szCs w:val="18"/>
              </w:rPr>
              <w:t>废水</w:t>
            </w:r>
            <w:r>
              <w:rPr>
                <w:rFonts w:hint="default" w:eastAsia="黑体"/>
                <w:color w:val="auto"/>
                <w:sz w:val="18"/>
                <w:szCs w:val="18"/>
              </w:rPr>
              <w:t>监测计划</w:t>
            </w:r>
          </w:p>
          <w:tbl>
            <w:tblPr>
              <w:tblStyle w:val="13"/>
              <w:tblW w:w="7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131"/>
              <w:gridCol w:w="4306"/>
              <w:gridCol w:w="1156"/>
            </w:tblGrid>
            <w:tr w14:paraId="5461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005" w:type="dxa"/>
                  <w:tcBorders>
                    <w:top w:val="single" w:color="auto" w:sz="4" w:space="0"/>
                    <w:left w:val="single" w:color="auto" w:sz="4" w:space="0"/>
                    <w:bottom w:val="single" w:color="auto" w:sz="4" w:space="0"/>
                    <w:right w:val="single" w:color="auto" w:sz="4" w:space="0"/>
                  </w:tcBorders>
                  <w:vAlign w:val="center"/>
                </w:tcPr>
                <w:p w14:paraId="363F1981">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b/>
                      <w:color w:val="auto"/>
                      <w:sz w:val="18"/>
                      <w:szCs w:val="18"/>
                    </w:rPr>
                  </w:pPr>
                  <w:r>
                    <w:rPr>
                      <w:rFonts w:hint="default" w:ascii="宋体" w:hAnsi="宋体"/>
                      <w:b/>
                      <w:color w:val="auto"/>
                      <w:sz w:val="18"/>
                      <w:szCs w:val="18"/>
                    </w:rPr>
                    <w:t>监测类别</w:t>
                  </w:r>
                </w:p>
              </w:tc>
              <w:tc>
                <w:tcPr>
                  <w:tcW w:w="1131" w:type="dxa"/>
                  <w:tcBorders>
                    <w:top w:val="single" w:color="auto" w:sz="4" w:space="0"/>
                    <w:left w:val="single" w:color="auto" w:sz="4" w:space="0"/>
                    <w:bottom w:val="single" w:color="auto" w:sz="4" w:space="0"/>
                    <w:right w:val="single" w:color="auto" w:sz="4" w:space="0"/>
                  </w:tcBorders>
                  <w:vAlign w:val="center"/>
                </w:tcPr>
                <w:p w14:paraId="465F2A0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b/>
                      <w:color w:val="auto"/>
                      <w:sz w:val="18"/>
                      <w:szCs w:val="18"/>
                    </w:rPr>
                  </w:pPr>
                  <w:r>
                    <w:rPr>
                      <w:rFonts w:hint="default" w:ascii="宋体" w:hAnsi="宋体"/>
                      <w:b/>
                      <w:color w:val="auto"/>
                      <w:sz w:val="18"/>
                      <w:szCs w:val="18"/>
                    </w:rPr>
                    <w:t>监测点位</w:t>
                  </w:r>
                </w:p>
              </w:tc>
              <w:tc>
                <w:tcPr>
                  <w:tcW w:w="4306" w:type="dxa"/>
                  <w:tcBorders>
                    <w:top w:val="single" w:color="auto" w:sz="4" w:space="0"/>
                    <w:left w:val="single" w:color="auto" w:sz="4" w:space="0"/>
                    <w:bottom w:val="single" w:color="auto" w:sz="4" w:space="0"/>
                    <w:right w:val="single" w:color="auto" w:sz="4" w:space="0"/>
                  </w:tcBorders>
                  <w:vAlign w:val="center"/>
                </w:tcPr>
                <w:p w14:paraId="4DE0FC79">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b/>
                      <w:color w:val="auto"/>
                      <w:sz w:val="18"/>
                      <w:szCs w:val="18"/>
                    </w:rPr>
                  </w:pPr>
                  <w:r>
                    <w:rPr>
                      <w:rFonts w:hint="default" w:ascii="宋体" w:hAnsi="宋体"/>
                      <w:b/>
                      <w:color w:val="auto"/>
                      <w:sz w:val="18"/>
                      <w:szCs w:val="18"/>
                    </w:rPr>
                    <w:t>监测因子</w:t>
                  </w:r>
                </w:p>
              </w:tc>
              <w:tc>
                <w:tcPr>
                  <w:tcW w:w="1156" w:type="dxa"/>
                  <w:tcBorders>
                    <w:top w:val="single" w:color="auto" w:sz="4" w:space="0"/>
                    <w:left w:val="single" w:color="auto" w:sz="4" w:space="0"/>
                    <w:bottom w:val="single" w:color="auto" w:sz="4" w:space="0"/>
                    <w:right w:val="single" w:color="auto" w:sz="4" w:space="0"/>
                  </w:tcBorders>
                  <w:vAlign w:val="center"/>
                </w:tcPr>
                <w:p w14:paraId="6D4D9AC4">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ascii="宋体" w:hAnsi="宋体"/>
                      <w:b/>
                      <w:color w:val="auto"/>
                      <w:sz w:val="18"/>
                      <w:szCs w:val="18"/>
                    </w:rPr>
                  </w:pPr>
                  <w:r>
                    <w:rPr>
                      <w:rFonts w:hint="default" w:ascii="宋体" w:hAnsi="宋体"/>
                      <w:b/>
                      <w:color w:val="auto"/>
                      <w:sz w:val="18"/>
                      <w:szCs w:val="18"/>
                    </w:rPr>
                    <w:t>监测</w:t>
                  </w:r>
                  <w:r>
                    <w:rPr>
                      <w:rFonts w:hint="eastAsia" w:ascii="宋体" w:hAnsi="宋体"/>
                      <w:b/>
                      <w:color w:val="auto"/>
                      <w:sz w:val="18"/>
                      <w:szCs w:val="18"/>
                    </w:rPr>
                    <w:t>频次</w:t>
                  </w:r>
                </w:p>
              </w:tc>
            </w:tr>
            <w:tr w14:paraId="4EA7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005" w:type="dxa"/>
                  <w:vMerge w:val="restart"/>
                  <w:tcBorders>
                    <w:top w:val="nil"/>
                    <w:left w:val="single" w:color="auto" w:sz="4" w:space="0"/>
                    <w:right w:val="single" w:color="auto" w:sz="4" w:space="0"/>
                  </w:tcBorders>
                  <w:vAlign w:val="center"/>
                </w:tcPr>
                <w:p w14:paraId="6996CA48">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bCs/>
                      <w:i/>
                      <w:color w:val="auto"/>
                      <w:sz w:val="18"/>
                      <w:szCs w:val="18"/>
                    </w:rPr>
                  </w:pPr>
                  <w:r>
                    <w:rPr>
                      <w:rFonts w:hint="default" w:ascii="宋体" w:hAnsi="宋体"/>
                      <w:bCs/>
                      <w:i/>
                      <w:color w:val="auto"/>
                      <w:sz w:val="18"/>
                      <w:szCs w:val="18"/>
                    </w:rPr>
                    <w:t>废水</w:t>
                  </w:r>
                </w:p>
              </w:tc>
              <w:tc>
                <w:tcPr>
                  <w:tcW w:w="1131" w:type="dxa"/>
                  <w:vMerge w:val="restart"/>
                  <w:tcBorders>
                    <w:top w:val="nil"/>
                    <w:left w:val="single" w:color="auto" w:sz="4" w:space="0"/>
                    <w:bottom w:val="single" w:color="auto" w:sz="4" w:space="0"/>
                    <w:right w:val="single" w:color="auto" w:sz="4" w:space="0"/>
                  </w:tcBorders>
                  <w:vAlign w:val="center"/>
                </w:tcPr>
                <w:p w14:paraId="7BC6823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i/>
                      <w:color w:val="auto"/>
                      <w:sz w:val="18"/>
                      <w:szCs w:val="18"/>
                    </w:rPr>
                  </w:pPr>
                  <w:r>
                    <w:rPr>
                      <w:rFonts w:hint="default" w:ascii="宋体" w:hAnsi="宋体"/>
                      <w:bCs/>
                      <w:i/>
                      <w:color w:val="auto"/>
                      <w:sz w:val="18"/>
                      <w:szCs w:val="18"/>
                    </w:rPr>
                    <w:t>废水处理站排放口</w:t>
                  </w:r>
                </w:p>
              </w:tc>
              <w:tc>
                <w:tcPr>
                  <w:tcW w:w="4306" w:type="dxa"/>
                  <w:tcBorders>
                    <w:top w:val="single" w:color="auto" w:sz="4" w:space="0"/>
                    <w:left w:val="single" w:color="auto" w:sz="4" w:space="0"/>
                    <w:bottom w:val="single" w:color="auto" w:sz="4" w:space="0"/>
                    <w:right w:val="single" w:color="auto" w:sz="4" w:space="0"/>
                  </w:tcBorders>
                  <w:vAlign w:val="center"/>
                </w:tcPr>
                <w:p w14:paraId="72E9158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ascii="宋体" w:hAnsi="宋体"/>
                      <w:color w:val="auto"/>
                      <w:sz w:val="18"/>
                      <w:szCs w:val="18"/>
                    </w:rPr>
                  </w:pPr>
                  <w:r>
                    <w:rPr>
                      <w:rFonts w:hint="default"/>
                      <w:color w:val="auto"/>
                      <w:sz w:val="18"/>
                      <w:szCs w:val="18"/>
                    </w:rPr>
                    <w:t>pH</w:t>
                  </w:r>
                  <w:r>
                    <w:rPr>
                      <w:rFonts w:hint="eastAsia" w:ascii="宋体" w:hAnsi="宋体"/>
                      <w:color w:val="auto"/>
                      <w:sz w:val="18"/>
                      <w:szCs w:val="18"/>
                    </w:rPr>
                    <w:t>值</w:t>
                  </w:r>
                </w:p>
              </w:tc>
              <w:tc>
                <w:tcPr>
                  <w:tcW w:w="1156" w:type="dxa"/>
                  <w:tcBorders>
                    <w:top w:val="single" w:color="auto" w:sz="4" w:space="0"/>
                    <w:left w:val="single" w:color="auto" w:sz="4" w:space="0"/>
                    <w:bottom w:val="single" w:color="auto" w:sz="4" w:space="0"/>
                    <w:right w:val="single" w:color="auto" w:sz="4" w:space="0"/>
                  </w:tcBorders>
                  <w:vAlign w:val="center"/>
                </w:tcPr>
                <w:p w14:paraId="4BAD0AD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bCs/>
                      <w:color w:val="auto"/>
                      <w:sz w:val="18"/>
                      <w:szCs w:val="18"/>
                    </w:rPr>
                  </w:pPr>
                  <w:r>
                    <w:rPr>
                      <w:rFonts w:hint="default"/>
                      <w:bCs/>
                      <w:color w:val="auto"/>
                      <w:sz w:val="18"/>
                      <w:szCs w:val="18"/>
                    </w:rPr>
                    <w:t>每天</w:t>
                  </w:r>
                  <w:r>
                    <w:rPr>
                      <w:rFonts w:hint="eastAsia"/>
                      <w:bCs/>
                      <w:color w:val="auto"/>
                      <w:sz w:val="18"/>
                      <w:szCs w:val="18"/>
                    </w:rPr>
                    <w:t>2次</w:t>
                  </w:r>
                </w:p>
              </w:tc>
            </w:tr>
            <w:tr w14:paraId="3920F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005" w:type="dxa"/>
                  <w:vMerge w:val="continue"/>
                  <w:tcBorders>
                    <w:left w:val="single" w:color="auto" w:sz="4" w:space="0"/>
                    <w:right w:val="single" w:color="auto" w:sz="4" w:space="0"/>
                  </w:tcBorders>
                  <w:vAlign w:val="center"/>
                </w:tcPr>
                <w:p w14:paraId="2238BF4C">
                  <w:pPr>
                    <w:keepNext w:val="0"/>
                    <w:keepLines w:val="0"/>
                    <w:pageBreakBefore w:val="0"/>
                    <w:widowControl/>
                    <w:suppressLineNumbers w:val="0"/>
                    <w:kinsoku/>
                    <w:wordWrap/>
                    <w:overflowPunct/>
                    <w:topLinePunct w:val="0"/>
                    <w:bidi w:val="0"/>
                    <w:snapToGrid/>
                    <w:spacing w:before="0" w:beforeAutospacing="0" w:after="0" w:afterAutospacing="0" w:line="300" w:lineRule="exact"/>
                    <w:ind w:left="0" w:right="0"/>
                    <w:jc w:val="left"/>
                    <w:textAlignment w:val="auto"/>
                    <w:rPr>
                      <w:rFonts w:hint="default"/>
                      <w:bCs/>
                      <w:color w:val="auto"/>
                      <w:sz w:val="18"/>
                      <w:szCs w:val="18"/>
                    </w:rPr>
                  </w:pPr>
                </w:p>
              </w:tc>
              <w:tc>
                <w:tcPr>
                  <w:tcW w:w="1131" w:type="dxa"/>
                  <w:vMerge w:val="continue"/>
                  <w:tcBorders>
                    <w:top w:val="nil"/>
                    <w:left w:val="single" w:color="auto" w:sz="4" w:space="0"/>
                    <w:bottom w:val="single" w:color="auto" w:sz="4" w:space="0"/>
                    <w:right w:val="single" w:color="auto" w:sz="4" w:space="0"/>
                  </w:tcBorders>
                  <w:vAlign w:val="center"/>
                </w:tcPr>
                <w:p w14:paraId="04E3B401">
                  <w:pPr>
                    <w:keepNext w:val="0"/>
                    <w:keepLines w:val="0"/>
                    <w:pageBreakBefore w:val="0"/>
                    <w:widowControl/>
                    <w:suppressLineNumbers w:val="0"/>
                    <w:kinsoku/>
                    <w:wordWrap/>
                    <w:overflowPunct/>
                    <w:topLinePunct w:val="0"/>
                    <w:bidi w:val="0"/>
                    <w:snapToGrid/>
                    <w:spacing w:before="0" w:beforeAutospacing="0" w:after="0" w:afterAutospacing="0" w:line="300" w:lineRule="exact"/>
                    <w:ind w:left="0" w:right="0"/>
                    <w:jc w:val="left"/>
                    <w:textAlignment w:val="auto"/>
                    <w:rPr>
                      <w:rFonts w:hint="default"/>
                      <w:color w:val="auto"/>
                      <w:sz w:val="18"/>
                      <w:szCs w:val="18"/>
                    </w:rPr>
                  </w:pPr>
                </w:p>
              </w:tc>
              <w:tc>
                <w:tcPr>
                  <w:tcW w:w="4306" w:type="dxa"/>
                  <w:tcBorders>
                    <w:top w:val="single" w:color="auto" w:sz="4" w:space="0"/>
                    <w:left w:val="single" w:color="auto" w:sz="4" w:space="0"/>
                    <w:bottom w:val="single" w:color="auto" w:sz="4" w:space="0"/>
                    <w:right w:val="single" w:color="auto" w:sz="4" w:space="0"/>
                  </w:tcBorders>
                  <w:vAlign w:val="center"/>
                </w:tcPr>
                <w:p w14:paraId="7C2F588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ascii="宋体" w:hAnsi="宋体"/>
                      <w:color w:val="auto"/>
                      <w:sz w:val="18"/>
                      <w:szCs w:val="18"/>
                    </w:rPr>
                  </w:pPr>
                  <w:r>
                    <w:rPr>
                      <w:rFonts w:hint="eastAsia" w:ascii="宋体" w:hAnsi="宋体"/>
                      <w:color w:val="auto"/>
                      <w:sz w:val="18"/>
                      <w:szCs w:val="18"/>
                    </w:rPr>
                    <w:t>化学需氧量、悬浮物</w:t>
                  </w:r>
                </w:p>
              </w:tc>
              <w:tc>
                <w:tcPr>
                  <w:tcW w:w="1156" w:type="dxa"/>
                  <w:tcBorders>
                    <w:top w:val="single" w:color="auto" w:sz="4" w:space="0"/>
                    <w:left w:val="single" w:color="auto" w:sz="4" w:space="0"/>
                    <w:bottom w:val="single" w:color="auto" w:sz="4" w:space="0"/>
                    <w:right w:val="single" w:color="auto" w:sz="4" w:space="0"/>
                  </w:tcBorders>
                  <w:vAlign w:val="center"/>
                </w:tcPr>
                <w:p w14:paraId="121B6B2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bCs/>
                      <w:color w:val="auto"/>
                      <w:sz w:val="18"/>
                      <w:szCs w:val="18"/>
                    </w:rPr>
                  </w:pPr>
                  <w:r>
                    <w:rPr>
                      <w:rFonts w:hint="default" w:ascii="宋体" w:hAnsi="宋体"/>
                      <w:bCs/>
                      <w:color w:val="auto"/>
                      <w:sz w:val="18"/>
                      <w:szCs w:val="18"/>
                    </w:rPr>
                    <w:t>每周</w:t>
                  </w:r>
                  <w:r>
                    <w:rPr>
                      <w:rFonts w:hint="default"/>
                      <w:bCs/>
                      <w:color w:val="auto"/>
                      <w:sz w:val="18"/>
                      <w:szCs w:val="18"/>
                    </w:rPr>
                    <w:t>1</w:t>
                  </w:r>
                  <w:r>
                    <w:rPr>
                      <w:rFonts w:hint="default" w:ascii="宋体" w:hAnsi="宋体"/>
                      <w:bCs/>
                      <w:color w:val="auto"/>
                      <w:sz w:val="18"/>
                      <w:szCs w:val="18"/>
                    </w:rPr>
                    <w:t>次</w:t>
                  </w:r>
                </w:p>
              </w:tc>
            </w:tr>
            <w:tr w14:paraId="2B3A8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005" w:type="dxa"/>
                  <w:vMerge w:val="continue"/>
                  <w:tcBorders>
                    <w:left w:val="single" w:color="auto" w:sz="4" w:space="0"/>
                    <w:right w:val="single" w:color="auto" w:sz="4" w:space="0"/>
                  </w:tcBorders>
                  <w:vAlign w:val="center"/>
                </w:tcPr>
                <w:p w14:paraId="651E097C">
                  <w:pPr>
                    <w:keepNext w:val="0"/>
                    <w:keepLines w:val="0"/>
                    <w:pageBreakBefore w:val="0"/>
                    <w:widowControl/>
                    <w:suppressLineNumbers w:val="0"/>
                    <w:kinsoku/>
                    <w:wordWrap/>
                    <w:overflowPunct/>
                    <w:topLinePunct w:val="0"/>
                    <w:bidi w:val="0"/>
                    <w:snapToGrid/>
                    <w:spacing w:before="0" w:beforeAutospacing="0" w:after="0" w:afterAutospacing="0" w:line="300" w:lineRule="exact"/>
                    <w:ind w:left="0" w:right="0"/>
                    <w:jc w:val="left"/>
                    <w:textAlignment w:val="auto"/>
                    <w:rPr>
                      <w:rFonts w:hint="default"/>
                      <w:bCs/>
                      <w:color w:val="auto"/>
                      <w:sz w:val="18"/>
                      <w:szCs w:val="18"/>
                    </w:rPr>
                  </w:pPr>
                </w:p>
              </w:tc>
              <w:tc>
                <w:tcPr>
                  <w:tcW w:w="1131" w:type="dxa"/>
                  <w:vMerge w:val="continue"/>
                  <w:tcBorders>
                    <w:top w:val="nil"/>
                    <w:left w:val="single" w:color="auto" w:sz="4" w:space="0"/>
                    <w:bottom w:val="single" w:color="auto" w:sz="4" w:space="0"/>
                    <w:right w:val="single" w:color="auto" w:sz="4" w:space="0"/>
                  </w:tcBorders>
                  <w:vAlign w:val="center"/>
                </w:tcPr>
                <w:p w14:paraId="225325E1">
                  <w:pPr>
                    <w:keepNext w:val="0"/>
                    <w:keepLines w:val="0"/>
                    <w:pageBreakBefore w:val="0"/>
                    <w:widowControl/>
                    <w:suppressLineNumbers w:val="0"/>
                    <w:kinsoku/>
                    <w:wordWrap/>
                    <w:overflowPunct/>
                    <w:topLinePunct w:val="0"/>
                    <w:bidi w:val="0"/>
                    <w:snapToGrid/>
                    <w:spacing w:before="0" w:beforeAutospacing="0" w:after="0" w:afterAutospacing="0" w:line="300" w:lineRule="exact"/>
                    <w:ind w:left="0" w:right="0"/>
                    <w:jc w:val="left"/>
                    <w:textAlignment w:val="auto"/>
                    <w:rPr>
                      <w:rFonts w:hint="default"/>
                      <w:color w:val="auto"/>
                      <w:sz w:val="18"/>
                      <w:szCs w:val="18"/>
                    </w:rPr>
                  </w:pPr>
                </w:p>
              </w:tc>
              <w:tc>
                <w:tcPr>
                  <w:tcW w:w="4306" w:type="dxa"/>
                  <w:tcBorders>
                    <w:top w:val="single" w:color="auto" w:sz="4" w:space="0"/>
                    <w:left w:val="single" w:color="auto" w:sz="4" w:space="0"/>
                    <w:bottom w:val="single" w:color="auto" w:sz="4" w:space="0"/>
                    <w:right w:val="single" w:color="auto" w:sz="4" w:space="0"/>
                  </w:tcBorders>
                  <w:vAlign w:val="center"/>
                </w:tcPr>
                <w:p w14:paraId="1E50683D">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color w:val="auto"/>
                      <w:sz w:val="18"/>
                      <w:szCs w:val="18"/>
                    </w:rPr>
                  </w:pPr>
                  <w:r>
                    <w:rPr>
                      <w:rFonts w:hint="default" w:ascii="宋体" w:hAnsi="宋体"/>
                      <w:color w:val="auto"/>
                      <w:sz w:val="18"/>
                      <w:szCs w:val="18"/>
                    </w:rPr>
                    <w:t>粪大肠菌群</w:t>
                  </w:r>
                  <w:r>
                    <w:rPr>
                      <w:rFonts w:hint="eastAsia" w:ascii="宋体" w:hAnsi="宋体"/>
                      <w:color w:val="auto"/>
                      <w:sz w:val="18"/>
                      <w:szCs w:val="18"/>
                    </w:rPr>
                    <w:t>数</w:t>
                  </w:r>
                </w:p>
              </w:tc>
              <w:tc>
                <w:tcPr>
                  <w:tcW w:w="1156" w:type="dxa"/>
                  <w:tcBorders>
                    <w:top w:val="single" w:color="auto" w:sz="4" w:space="0"/>
                    <w:left w:val="single" w:color="auto" w:sz="4" w:space="0"/>
                    <w:bottom w:val="single" w:color="auto" w:sz="4" w:space="0"/>
                    <w:right w:val="single" w:color="auto" w:sz="4" w:space="0"/>
                  </w:tcBorders>
                  <w:vAlign w:val="center"/>
                </w:tcPr>
                <w:p w14:paraId="6A3F4F39">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bCs/>
                      <w:color w:val="auto"/>
                      <w:sz w:val="18"/>
                      <w:szCs w:val="18"/>
                    </w:rPr>
                  </w:pPr>
                  <w:r>
                    <w:rPr>
                      <w:rFonts w:hint="default" w:ascii="宋体" w:hAnsi="宋体"/>
                      <w:bCs/>
                      <w:color w:val="auto"/>
                      <w:sz w:val="18"/>
                      <w:szCs w:val="18"/>
                    </w:rPr>
                    <w:t>每月</w:t>
                  </w:r>
                  <w:r>
                    <w:rPr>
                      <w:rFonts w:hint="default"/>
                      <w:bCs/>
                      <w:color w:val="auto"/>
                      <w:sz w:val="18"/>
                      <w:szCs w:val="18"/>
                    </w:rPr>
                    <w:t>1</w:t>
                  </w:r>
                  <w:r>
                    <w:rPr>
                      <w:rFonts w:hint="default" w:ascii="宋体" w:hAnsi="宋体"/>
                      <w:bCs/>
                      <w:color w:val="auto"/>
                      <w:sz w:val="18"/>
                      <w:szCs w:val="18"/>
                    </w:rPr>
                    <w:t>次</w:t>
                  </w:r>
                </w:p>
              </w:tc>
            </w:tr>
            <w:tr w14:paraId="3631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05" w:type="dxa"/>
                  <w:vMerge w:val="continue"/>
                  <w:tcBorders>
                    <w:left w:val="single" w:color="auto" w:sz="4" w:space="0"/>
                    <w:right w:val="single" w:color="auto" w:sz="4" w:space="0"/>
                  </w:tcBorders>
                  <w:vAlign w:val="center"/>
                </w:tcPr>
                <w:p w14:paraId="542D54CC">
                  <w:pPr>
                    <w:keepNext w:val="0"/>
                    <w:keepLines w:val="0"/>
                    <w:pageBreakBefore w:val="0"/>
                    <w:widowControl/>
                    <w:suppressLineNumbers w:val="0"/>
                    <w:kinsoku/>
                    <w:wordWrap/>
                    <w:overflowPunct/>
                    <w:topLinePunct w:val="0"/>
                    <w:bidi w:val="0"/>
                    <w:snapToGrid/>
                    <w:spacing w:before="0" w:beforeAutospacing="0" w:after="0" w:afterAutospacing="0" w:line="300" w:lineRule="exact"/>
                    <w:ind w:left="0" w:right="0"/>
                    <w:jc w:val="left"/>
                    <w:textAlignment w:val="auto"/>
                    <w:rPr>
                      <w:rFonts w:hint="default"/>
                      <w:bCs/>
                      <w:color w:val="auto"/>
                      <w:sz w:val="18"/>
                      <w:szCs w:val="18"/>
                    </w:rPr>
                  </w:pPr>
                </w:p>
              </w:tc>
              <w:tc>
                <w:tcPr>
                  <w:tcW w:w="1131" w:type="dxa"/>
                  <w:vMerge w:val="continue"/>
                  <w:tcBorders>
                    <w:top w:val="nil"/>
                    <w:left w:val="single" w:color="auto" w:sz="4" w:space="0"/>
                    <w:bottom w:val="nil"/>
                    <w:right w:val="single" w:color="auto" w:sz="4" w:space="0"/>
                  </w:tcBorders>
                  <w:vAlign w:val="center"/>
                </w:tcPr>
                <w:p w14:paraId="10CE8B75">
                  <w:pPr>
                    <w:keepNext w:val="0"/>
                    <w:keepLines w:val="0"/>
                    <w:pageBreakBefore w:val="0"/>
                    <w:widowControl/>
                    <w:suppressLineNumbers w:val="0"/>
                    <w:kinsoku/>
                    <w:wordWrap/>
                    <w:overflowPunct/>
                    <w:topLinePunct w:val="0"/>
                    <w:bidi w:val="0"/>
                    <w:snapToGrid/>
                    <w:spacing w:before="0" w:beforeAutospacing="0" w:after="0" w:afterAutospacing="0" w:line="300" w:lineRule="exact"/>
                    <w:ind w:left="0" w:right="0"/>
                    <w:jc w:val="left"/>
                    <w:textAlignment w:val="auto"/>
                    <w:rPr>
                      <w:rFonts w:hint="default"/>
                      <w:color w:val="auto"/>
                      <w:sz w:val="18"/>
                      <w:szCs w:val="18"/>
                    </w:rPr>
                  </w:pPr>
                </w:p>
              </w:tc>
              <w:tc>
                <w:tcPr>
                  <w:tcW w:w="4306" w:type="dxa"/>
                  <w:tcBorders>
                    <w:top w:val="single" w:color="auto" w:sz="4" w:space="0"/>
                    <w:left w:val="single" w:color="auto" w:sz="4" w:space="0"/>
                    <w:bottom w:val="single" w:color="auto" w:sz="4" w:space="0"/>
                    <w:right w:val="single" w:color="auto" w:sz="4" w:space="0"/>
                  </w:tcBorders>
                  <w:vAlign w:val="center"/>
                </w:tcPr>
                <w:p w14:paraId="26964FAB">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color w:val="auto"/>
                      <w:sz w:val="18"/>
                      <w:szCs w:val="18"/>
                    </w:rPr>
                  </w:pPr>
                  <w:r>
                    <w:rPr>
                      <w:rFonts w:hint="eastAsia" w:ascii="宋体" w:hAnsi="宋体"/>
                      <w:color w:val="auto"/>
                      <w:sz w:val="18"/>
                      <w:szCs w:val="18"/>
                    </w:rPr>
                    <w:t>五日生化需氧量、石油类、挥发酚、动植物油、阴离子表面活性剂、总氰化物</w:t>
                  </w:r>
                </w:p>
              </w:tc>
              <w:tc>
                <w:tcPr>
                  <w:tcW w:w="1156" w:type="dxa"/>
                  <w:tcBorders>
                    <w:top w:val="single" w:color="auto" w:sz="4" w:space="0"/>
                    <w:left w:val="single" w:color="auto" w:sz="4" w:space="0"/>
                    <w:bottom w:val="single" w:color="auto" w:sz="4" w:space="0"/>
                    <w:right w:val="single" w:color="auto" w:sz="4" w:space="0"/>
                  </w:tcBorders>
                  <w:vAlign w:val="center"/>
                </w:tcPr>
                <w:p w14:paraId="405B9FEA">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bCs/>
                      <w:color w:val="auto"/>
                      <w:sz w:val="18"/>
                      <w:szCs w:val="18"/>
                    </w:rPr>
                  </w:pPr>
                  <w:r>
                    <w:rPr>
                      <w:rFonts w:hint="default" w:ascii="宋体" w:hAnsi="宋体"/>
                      <w:bCs/>
                      <w:color w:val="auto"/>
                      <w:sz w:val="18"/>
                      <w:szCs w:val="18"/>
                    </w:rPr>
                    <w:t>每季度</w:t>
                  </w:r>
                  <w:r>
                    <w:rPr>
                      <w:rFonts w:hint="default"/>
                      <w:bCs/>
                      <w:color w:val="auto"/>
                      <w:sz w:val="18"/>
                      <w:szCs w:val="18"/>
                    </w:rPr>
                    <w:t>1</w:t>
                  </w:r>
                  <w:r>
                    <w:rPr>
                      <w:rFonts w:hint="default" w:ascii="宋体" w:hAnsi="宋体"/>
                      <w:bCs/>
                      <w:color w:val="auto"/>
                      <w:sz w:val="18"/>
                      <w:szCs w:val="18"/>
                    </w:rPr>
                    <w:t>次</w:t>
                  </w:r>
                </w:p>
              </w:tc>
            </w:tr>
            <w:tr w14:paraId="60BF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005" w:type="dxa"/>
                  <w:vMerge w:val="continue"/>
                  <w:tcBorders>
                    <w:left w:val="single" w:color="auto" w:sz="4" w:space="0"/>
                    <w:bottom w:val="single" w:color="auto" w:sz="4" w:space="0"/>
                    <w:right w:val="single" w:color="auto" w:sz="4" w:space="0"/>
                  </w:tcBorders>
                  <w:vAlign w:val="center"/>
                </w:tcPr>
                <w:p w14:paraId="039C4AA3">
                  <w:pPr>
                    <w:keepNext w:val="0"/>
                    <w:keepLines w:val="0"/>
                    <w:pageBreakBefore w:val="0"/>
                    <w:widowControl/>
                    <w:suppressLineNumbers w:val="0"/>
                    <w:kinsoku/>
                    <w:wordWrap/>
                    <w:overflowPunct/>
                    <w:topLinePunct w:val="0"/>
                    <w:bidi w:val="0"/>
                    <w:snapToGrid/>
                    <w:spacing w:before="0" w:beforeAutospacing="0" w:after="0" w:afterAutospacing="0" w:line="300" w:lineRule="exact"/>
                    <w:ind w:left="0" w:right="0"/>
                    <w:jc w:val="left"/>
                    <w:textAlignment w:val="auto"/>
                    <w:rPr>
                      <w:rFonts w:hint="default"/>
                      <w:bCs/>
                      <w:color w:val="auto"/>
                      <w:sz w:val="18"/>
                      <w:szCs w:val="18"/>
                    </w:rPr>
                  </w:pPr>
                </w:p>
              </w:tc>
              <w:tc>
                <w:tcPr>
                  <w:tcW w:w="1131" w:type="dxa"/>
                  <w:tcBorders>
                    <w:top w:val="nil"/>
                    <w:left w:val="single" w:color="auto" w:sz="4" w:space="0"/>
                    <w:bottom w:val="single" w:color="auto" w:sz="4" w:space="0"/>
                    <w:right w:val="single" w:color="auto" w:sz="4" w:space="0"/>
                  </w:tcBorders>
                  <w:vAlign w:val="center"/>
                </w:tcPr>
                <w:p w14:paraId="4A5BDD62">
                  <w:pPr>
                    <w:keepNext w:val="0"/>
                    <w:keepLines w:val="0"/>
                    <w:pageBreakBefore w:val="0"/>
                    <w:widowControl/>
                    <w:suppressLineNumbers w:val="0"/>
                    <w:kinsoku/>
                    <w:wordWrap/>
                    <w:overflowPunct/>
                    <w:topLinePunct w:val="0"/>
                    <w:bidi w:val="0"/>
                    <w:snapToGrid/>
                    <w:spacing w:before="0" w:beforeAutospacing="0" w:after="0" w:afterAutospacing="0" w:line="300" w:lineRule="exact"/>
                    <w:ind w:left="0" w:right="0"/>
                    <w:jc w:val="left"/>
                    <w:textAlignment w:val="auto"/>
                    <w:rPr>
                      <w:rFonts w:hint="default"/>
                      <w:color w:val="auto"/>
                      <w:sz w:val="18"/>
                      <w:szCs w:val="18"/>
                    </w:rPr>
                  </w:pPr>
                  <w:r>
                    <w:rPr>
                      <w:rFonts w:hint="default"/>
                      <w:color w:val="auto"/>
                      <w:sz w:val="18"/>
                      <w:szCs w:val="18"/>
                    </w:rPr>
                    <w:t>接触消毒池出口</w:t>
                  </w:r>
                </w:p>
              </w:tc>
              <w:tc>
                <w:tcPr>
                  <w:tcW w:w="4306" w:type="dxa"/>
                  <w:tcBorders>
                    <w:top w:val="single" w:color="auto" w:sz="4" w:space="0"/>
                    <w:left w:val="single" w:color="auto" w:sz="4" w:space="0"/>
                    <w:bottom w:val="single" w:color="auto" w:sz="4" w:space="0"/>
                    <w:right w:val="single" w:color="auto" w:sz="4" w:space="0"/>
                  </w:tcBorders>
                  <w:vAlign w:val="center"/>
                </w:tcPr>
                <w:p w14:paraId="24564623">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ascii="宋体" w:hAnsi="宋体"/>
                      <w:color w:val="auto"/>
                      <w:sz w:val="18"/>
                      <w:szCs w:val="18"/>
                    </w:rPr>
                  </w:pPr>
                  <w:r>
                    <w:rPr>
                      <w:rFonts w:hint="eastAsia" w:ascii="宋体" w:hAnsi="宋体"/>
                      <w:color w:val="auto"/>
                      <w:sz w:val="18"/>
                      <w:szCs w:val="18"/>
                    </w:rPr>
                    <w:t>总余氯</w:t>
                  </w:r>
                </w:p>
              </w:tc>
              <w:tc>
                <w:tcPr>
                  <w:tcW w:w="1156" w:type="dxa"/>
                  <w:tcBorders>
                    <w:top w:val="single" w:color="auto" w:sz="4" w:space="0"/>
                    <w:left w:val="single" w:color="auto" w:sz="4" w:space="0"/>
                    <w:bottom w:val="single" w:color="auto" w:sz="4" w:space="0"/>
                    <w:right w:val="single" w:color="auto" w:sz="4" w:space="0"/>
                  </w:tcBorders>
                  <w:vAlign w:val="center"/>
                </w:tcPr>
                <w:p w14:paraId="05175542">
                  <w:pPr>
                    <w:keepNext w:val="0"/>
                    <w:keepLines w:val="0"/>
                    <w:pageBreakBefore w:val="0"/>
                    <w:suppressLineNumbers w:val="0"/>
                    <w:kinsoku/>
                    <w:wordWrap/>
                    <w:overflowPunct/>
                    <w:topLinePunct w:val="0"/>
                    <w:autoSpaceDE w:val="0"/>
                    <w:autoSpaceDN w:val="0"/>
                    <w:bidi w:val="0"/>
                    <w:adjustRightInd w:val="0"/>
                    <w:snapToGrid/>
                    <w:spacing w:before="0" w:beforeAutospacing="0" w:after="0" w:afterAutospacing="0" w:line="300" w:lineRule="exact"/>
                    <w:ind w:left="-53" w:leftChars="-25" w:right="-53" w:rightChars="-25"/>
                    <w:jc w:val="center"/>
                    <w:textAlignment w:val="auto"/>
                    <w:rPr>
                      <w:rFonts w:hint="default"/>
                      <w:bCs/>
                      <w:color w:val="auto"/>
                      <w:sz w:val="18"/>
                      <w:szCs w:val="18"/>
                    </w:rPr>
                  </w:pPr>
                  <w:r>
                    <w:rPr>
                      <w:rFonts w:hint="default"/>
                      <w:bCs/>
                      <w:color w:val="auto"/>
                      <w:sz w:val="18"/>
                      <w:szCs w:val="18"/>
                    </w:rPr>
                    <w:t>每天</w:t>
                  </w:r>
                  <w:r>
                    <w:rPr>
                      <w:rFonts w:hint="eastAsia"/>
                      <w:bCs/>
                      <w:color w:val="auto"/>
                      <w:sz w:val="18"/>
                      <w:szCs w:val="18"/>
                    </w:rPr>
                    <w:t>2次</w:t>
                  </w:r>
                </w:p>
              </w:tc>
            </w:tr>
          </w:tbl>
          <w:p w14:paraId="4269344F">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eastAsia="黑体" w:cs="宋体"/>
                <w:color w:val="auto"/>
                <w:kern w:val="0"/>
                <w:szCs w:val="21"/>
              </w:rPr>
            </w:pPr>
            <w:r>
              <w:rPr>
                <w:rFonts w:hint="eastAsia" w:eastAsia="黑体" w:cs="宋体"/>
                <w:color w:val="auto"/>
                <w:kern w:val="0"/>
                <w:szCs w:val="21"/>
              </w:rPr>
              <w:t>3、噪声</w:t>
            </w:r>
          </w:p>
          <w:p w14:paraId="485E5F8B">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（1）噪声源强</w:t>
            </w:r>
          </w:p>
          <w:p w14:paraId="4A35F4A1">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default"/>
                <w:color w:val="auto"/>
                <w:szCs w:val="21"/>
              </w:rPr>
              <w:t>营运期噪声源主要产生于</w:t>
            </w:r>
            <w:r>
              <w:rPr>
                <w:rFonts w:hint="eastAsia"/>
                <w:color w:val="auto"/>
                <w:szCs w:val="21"/>
                <w:lang w:val="en-US" w:eastAsia="zh-CN"/>
              </w:rPr>
              <w:t>风机</w:t>
            </w:r>
            <w:r>
              <w:rPr>
                <w:rFonts w:hint="default"/>
                <w:color w:val="auto"/>
                <w:szCs w:val="21"/>
              </w:rPr>
              <w:t>、水泵、</w:t>
            </w:r>
            <w:r>
              <w:rPr>
                <w:rFonts w:hint="eastAsia"/>
                <w:color w:val="auto"/>
                <w:szCs w:val="21"/>
                <w:lang w:val="en-US" w:eastAsia="zh-CN"/>
              </w:rPr>
              <w:t>中央空调</w:t>
            </w:r>
            <w:r>
              <w:rPr>
                <w:rFonts w:hint="default"/>
                <w:color w:val="auto"/>
                <w:szCs w:val="21"/>
              </w:rPr>
              <w:t>等</w:t>
            </w:r>
            <w:r>
              <w:rPr>
                <w:rFonts w:hint="eastAsia"/>
                <w:color w:val="auto"/>
                <w:szCs w:val="21"/>
                <w:lang w:val="en-US" w:eastAsia="zh-CN"/>
              </w:rPr>
              <w:t>设备</w:t>
            </w:r>
            <w:r>
              <w:rPr>
                <w:rFonts w:hint="default"/>
                <w:color w:val="auto"/>
                <w:szCs w:val="21"/>
              </w:rPr>
              <w:t>的运行噪声。另外进出项目区域人员产生的社会生活噪声。各噪声源的排放特征及处理措施见下表。</w:t>
            </w:r>
          </w:p>
          <w:p w14:paraId="570A2E38">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eastAsia" w:eastAsia="黑体"/>
                <w:color w:val="auto"/>
                <w:sz w:val="18"/>
                <w:szCs w:val="18"/>
              </w:rPr>
              <w:t>表4-10    主要噪声污染源源强核算结果及相关参数一览表 单位：dB（A）</w:t>
            </w:r>
          </w:p>
          <w:tbl>
            <w:tblPr>
              <w:tblStyle w:val="13"/>
              <w:tblW w:w="77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913"/>
              <w:gridCol w:w="567"/>
              <w:gridCol w:w="567"/>
              <w:gridCol w:w="709"/>
              <w:gridCol w:w="1722"/>
              <w:gridCol w:w="567"/>
              <w:gridCol w:w="633"/>
              <w:gridCol w:w="658"/>
              <w:gridCol w:w="711"/>
            </w:tblGrid>
            <w:tr w14:paraId="06B33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jc w:val="center"/>
              </w:trPr>
              <w:tc>
                <w:tcPr>
                  <w:tcW w:w="735" w:type="dxa"/>
                  <w:vMerge w:val="restart"/>
                  <w:vAlign w:val="center"/>
                </w:tcPr>
                <w:p w14:paraId="633B1020">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工序</w:t>
                  </w:r>
                  <w:r>
                    <w:rPr>
                      <w:rFonts w:hint="default" w:ascii="Times New Roman" w:hAnsi="Times New Roman"/>
                      <w:color w:val="auto"/>
                      <w:sz w:val="18"/>
                      <w:szCs w:val="18"/>
                    </w:rPr>
                    <w:t>/</w:t>
                  </w:r>
                  <w:r>
                    <w:rPr>
                      <w:rFonts w:hint="eastAsia" w:ascii="Times New Roman" w:hAnsi="Times New Roman"/>
                      <w:color w:val="auto"/>
                      <w:sz w:val="18"/>
                      <w:szCs w:val="18"/>
                    </w:rPr>
                    <w:t>生 产线</w:t>
                  </w:r>
                </w:p>
              </w:tc>
              <w:tc>
                <w:tcPr>
                  <w:tcW w:w="913" w:type="dxa"/>
                  <w:vMerge w:val="restart"/>
                  <w:vAlign w:val="center"/>
                </w:tcPr>
                <w:p w14:paraId="5C42FCC2">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噪声源</w:t>
                  </w:r>
                </w:p>
              </w:tc>
              <w:tc>
                <w:tcPr>
                  <w:tcW w:w="567" w:type="dxa"/>
                  <w:vMerge w:val="restart"/>
                  <w:vAlign w:val="center"/>
                </w:tcPr>
                <w:p w14:paraId="75ED65D3">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 xml:space="preserve">声源 </w:t>
                  </w:r>
                </w:p>
                <w:p w14:paraId="4F90D88A">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类型</w:t>
                  </w:r>
                </w:p>
              </w:tc>
              <w:tc>
                <w:tcPr>
                  <w:tcW w:w="1276" w:type="dxa"/>
                  <w:gridSpan w:val="2"/>
                  <w:vAlign w:val="center"/>
                </w:tcPr>
                <w:p w14:paraId="216B67DE">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噪声源强</w:t>
                  </w:r>
                </w:p>
              </w:tc>
              <w:tc>
                <w:tcPr>
                  <w:tcW w:w="2289" w:type="dxa"/>
                  <w:gridSpan w:val="2"/>
                  <w:vAlign w:val="center"/>
                </w:tcPr>
                <w:p w14:paraId="42DB0E08">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降噪措施</w:t>
                  </w:r>
                </w:p>
              </w:tc>
              <w:tc>
                <w:tcPr>
                  <w:tcW w:w="1291" w:type="dxa"/>
                  <w:gridSpan w:val="2"/>
                  <w:vAlign w:val="center"/>
                </w:tcPr>
                <w:p w14:paraId="63888798">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噪声排放值</w:t>
                  </w:r>
                </w:p>
              </w:tc>
              <w:tc>
                <w:tcPr>
                  <w:tcW w:w="711" w:type="dxa"/>
                  <w:vMerge w:val="restart"/>
                  <w:vAlign w:val="center"/>
                </w:tcPr>
                <w:p w14:paraId="61694BB8">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持续</w:t>
                  </w:r>
                </w:p>
                <w:p w14:paraId="05FD6BBE">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时间</w:t>
                  </w:r>
                  <w:r>
                    <w:rPr>
                      <w:rFonts w:hint="default" w:ascii="Times New Roman" w:hAnsi="Times New Roman"/>
                      <w:color w:val="auto"/>
                      <w:sz w:val="18"/>
                      <w:szCs w:val="18"/>
                    </w:rPr>
                    <w:t>/h</w:t>
                  </w:r>
                </w:p>
              </w:tc>
            </w:tr>
            <w:tr w14:paraId="1F31C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jc w:val="center"/>
              </w:trPr>
              <w:tc>
                <w:tcPr>
                  <w:tcW w:w="735" w:type="dxa"/>
                  <w:vMerge w:val="continue"/>
                  <w:vAlign w:val="center"/>
                </w:tcPr>
                <w:p w14:paraId="382656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color w:val="auto"/>
                      <w:sz w:val="18"/>
                      <w:szCs w:val="18"/>
                    </w:rPr>
                  </w:pPr>
                </w:p>
              </w:tc>
              <w:tc>
                <w:tcPr>
                  <w:tcW w:w="913" w:type="dxa"/>
                  <w:vMerge w:val="continue"/>
                  <w:vAlign w:val="center"/>
                </w:tcPr>
                <w:p w14:paraId="25E9C1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color w:val="auto"/>
                      <w:sz w:val="18"/>
                      <w:szCs w:val="18"/>
                    </w:rPr>
                  </w:pPr>
                </w:p>
              </w:tc>
              <w:tc>
                <w:tcPr>
                  <w:tcW w:w="567" w:type="dxa"/>
                  <w:vMerge w:val="continue"/>
                  <w:vAlign w:val="center"/>
                </w:tcPr>
                <w:p w14:paraId="70AE53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color w:val="auto"/>
                      <w:sz w:val="18"/>
                      <w:szCs w:val="18"/>
                    </w:rPr>
                  </w:pPr>
                </w:p>
              </w:tc>
              <w:tc>
                <w:tcPr>
                  <w:tcW w:w="567" w:type="dxa"/>
                  <w:vAlign w:val="center"/>
                </w:tcPr>
                <w:p w14:paraId="1BE54783">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核算</w:t>
                  </w:r>
                </w:p>
                <w:p w14:paraId="1DC2FCDB">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方法</w:t>
                  </w:r>
                </w:p>
              </w:tc>
              <w:tc>
                <w:tcPr>
                  <w:tcW w:w="709" w:type="dxa"/>
                  <w:vAlign w:val="center"/>
                </w:tcPr>
                <w:p w14:paraId="3AA69693">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噪声值</w:t>
                  </w:r>
                </w:p>
              </w:tc>
              <w:tc>
                <w:tcPr>
                  <w:tcW w:w="1722" w:type="dxa"/>
                  <w:vAlign w:val="center"/>
                </w:tcPr>
                <w:p w14:paraId="3230863B">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工艺</w:t>
                  </w:r>
                </w:p>
              </w:tc>
              <w:tc>
                <w:tcPr>
                  <w:tcW w:w="567" w:type="dxa"/>
                  <w:vAlign w:val="center"/>
                </w:tcPr>
                <w:p w14:paraId="02D8F761">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降噪</w:t>
                  </w:r>
                </w:p>
                <w:p w14:paraId="49403791">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效果</w:t>
                  </w:r>
                </w:p>
              </w:tc>
              <w:tc>
                <w:tcPr>
                  <w:tcW w:w="633" w:type="dxa"/>
                  <w:vAlign w:val="center"/>
                </w:tcPr>
                <w:p w14:paraId="5B5FB2FA">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核算</w:t>
                  </w:r>
                </w:p>
                <w:p w14:paraId="71C7B095">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方法</w:t>
                  </w:r>
                </w:p>
              </w:tc>
              <w:tc>
                <w:tcPr>
                  <w:tcW w:w="658" w:type="dxa"/>
                  <w:vAlign w:val="center"/>
                </w:tcPr>
                <w:p w14:paraId="0F72F162">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噪声值</w:t>
                  </w:r>
                </w:p>
              </w:tc>
              <w:tc>
                <w:tcPr>
                  <w:tcW w:w="711" w:type="dxa"/>
                  <w:vMerge w:val="continue"/>
                  <w:vAlign w:val="center"/>
                </w:tcPr>
                <w:p w14:paraId="47862467">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p>
              </w:tc>
            </w:tr>
            <w:tr w14:paraId="6B126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jc w:val="center"/>
              </w:trPr>
              <w:tc>
                <w:tcPr>
                  <w:tcW w:w="735" w:type="dxa"/>
                  <w:vAlign w:val="center"/>
                </w:tcPr>
                <w:p w14:paraId="6C0901D8">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宋体"/>
                      <w:color w:val="auto"/>
                      <w:sz w:val="18"/>
                      <w:szCs w:val="18"/>
                      <w:lang w:val="en-US" w:eastAsia="zh-CN"/>
                    </w:rPr>
                  </w:pPr>
                  <w:r>
                    <w:rPr>
                      <w:rFonts w:hint="eastAsia" w:ascii="Times New Roman" w:hAnsi="Times New Roman"/>
                      <w:color w:val="auto"/>
                      <w:sz w:val="18"/>
                      <w:szCs w:val="18"/>
                      <w:lang w:val="en-US" w:eastAsia="zh-CN"/>
                    </w:rPr>
                    <w:t>中央空调</w:t>
                  </w:r>
                </w:p>
              </w:tc>
              <w:tc>
                <w:tcPr>
                  <w:tcW w:w="913" w:type="dxa"/>
                  <w:vAlign w:val="center"/>
                </w:tcPr>
                <w:p w14:paraId="07F649FA">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Times New Roman" w:hAnsi="Times New Roman" w:eastAsia="宋体"/>
                      <w:color w:val="auto"/>
                      <w:sz w:val="18"/>
                      <w:szCs w:val="18"/>
                      <w:lang w:val="en-US" w:eastAsia="zh-CN"/>
                    </w:rPr>
                  </w:pPr>
                  <w:r>
                    <w:rPr>
                      <w:rFonts w:hint="default" w:ascii="宋体" w:hAnsi="宋体"/>
                      <w:color w:val="auto"/>
                      <w:sz w:val="18"/>
                      <w:szCs w:val="18"/>
                    </w:rPr>
                    <w:t>室外机</w:t>
                  </w:r>
                </w:p>
              </w:tc>
              <w:tc>
                <w:tcPr>
                  <w:tcW w:w="567" w:type="dxa"/>
                  <w:vAlign w:val="center"/>
                </w:tcPr>
                <w:p w14:paraId="257F597A">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color w:val="auto"/>
                      <w:sz w:val="18"/>
                      <w:szCs w:val="18"/>
                    </w:rPr>
                  </w:pPr>
                  <w:r>
                    <w:rPr>
                      <w:rFonts w:hint="eastAsia" w:ascii="宋体" w:hAnsi="宋体"/>
                      <w:color w:val="auto"/>
                      <w:sz w:val="18"/>
                      <w:szCs w:val="18"/>
                    </w:rPr>
                    <w:t>频发</w:t>
                  </w:r>
                </w:p>
              </w:tc>
              <w:tc>
                <w:tcPr>
                  <w:tcW w:w="567" w:type="dxa"/>
                  <w:vMerge w:val="restart"/>
                  <w:vAlign w:val="center"/>
                </w:tcPr>
                <w:p w14:paraId="0BEF1A8D">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类比法</w:t>
                  </w:r>
                </w:p>
              </w:tc>
              <w:tc>
                <w:tcPr>
                  <w:tcW w:w="709" w:type="dxa"/>
                  <w:vAlign w:val="center"/>
                </w:tcPr>
                <w:p w14:paraId="3E2B0FE8">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90</w:t>
                  </w:r>
                </w:p>
              </w:tc>
              <w:tc>
                <w:tcPr>
                  <w:tcW w:w="1722" w:type="dxa"/>
                  <w:vAlign w:val="center"/>
                </w:tcPr>
                <w:p w14:paraId="2C040164">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Theme="minorEastAsia"/>
                      <w:color w:val="auto"/>
                      <w:spacing w:val="1"/>
                      <w:sz w:val="18"/>
                      <w:szCs w:val="18"/>
                    </w:rPr>
                  </w:pPr>
                  <w:r>
                    <w:rPr>
                      <w:rFonts w:hint="default" w:ascii="Times New Roman" w:hAnsi="Times New Roman" w:eastAsiaTheme="minorEastAsia"/>
                      <w:color w:val="auto"/>
                      <w:spacing w:val="1"/>
                      <w:sz w:val="18"/>
                      <w:szCs w:val="18"/>
                    </w:rPr>
                    <w:t>优选设备、减振，进出风口软管连接</w:t>
                  </w:r>
                </w:p>
              </w:tc>
              <w:tc>
                <w:tcPr>
                  <w:tcW w:w="567" w:type="dxa"/>
                  <w:vAlign w:val="center"/>
                </w:tcPr>
                <w:p w14:paraId="1E240017">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lang w:val="en-US" w:eastAsia="zh-CN"/>
                    </w:rPr>
                  </w:pPr>
                  <w:r>
                    <w:rPr>
                      <w:rFonts w:hint="eastAsia" w:ascii="Times New Roman" w:hAnsi="Times New Roman" w:eastAsiaTheme="minorEastAsia"/>
                      <w:color w:val="auto"/>
                      <w:spacing w:val="1"/>
                      <w:sz w:val="18"/>
                      <w:szCs w:val="18"/>
                      <w:lang w:val="en-US" w:eastAsia="zh-CN"/>
                    </w:rPr>
                    <w:t>15</w:t>
                  </w:r>
                </w:p>
              </w:tc>
              <w:tc>
                <w:tcPr>
                  <w:tcW w:w="633" w:type="dxa"/>
                  <w:vMerge w:val="restart"/>
                  <w:vAlign w:val="center"/>
                </w:tcPr>
                <w:p w14:paraId="5A3FA068">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eastAsia" w:ascii="Times New Roman" w:hAnsi="Times New Roman"/>
                      <w:color w:val="auto"/>
                      <w:sz w:val="18"/>
                      <w:szCs w:val="18"/>
                    </w:rPr>
                    <w:t>类比法</w:t>
                  </w:r>
                </w:p>
              </w:tc>
              <w:tc>
                <w:tcPr>
                  <w:tcW w:w="658" w:type="dxa"/>
                  <w:vAlign w:val="center"/>
                </w:tcPr>
                <w:p w14:paraId="6C582BA5">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lang w:val="en-US" w:eastAsia="zh-CN"/>
                    </w:rPr>
                  </w:pPr>
                  <w:r>
                    <w:rPr>
                      <w:rFonts w:hint="eastAsia" w:ascii="Times New Roman" w:hAnsi="Times New Roman" w:eastAsiaTheme="minorEastAsia"/>
                      <w:color w:val="auto"/>
                      <w:spacing w:val="1"/>
                      <w:sz w:val="18"/>
                      <w:szCs w:val="18"/>
                      <w:lang w:val="en-US" w:eastAsia="zh-CN"/>
                    </w:rPr>
                    <w:t>75</w:t>
                  </w:r>
                </w:p>
              </w:tc>
              <w:tc>
                <w:tcPr>
                  <w:tcW w:w="711" w:type="dxa"/>
                  <w:vAlign w:val="center"/>
                </w:tcPr>
                <w:p w14:paraId="22152903">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z w:val="18"/>
                      <w:szCs w:val="18"/>
                    </w:rPr>
                  </w:pPr>
                  <w:r>
                    <w:rPr>
                      <w:rFonts w:hint="eastAsia" w:ascii="Times New Roman" w:hAnsi="Times New Roman" w:eastAsiaTheme="minorEastAsia"/>
                      <w:color w:val="auto"/>
                      <w:sz w:val="18"/>
                      <w:szCs w:val="18"/>
                      <w:lang w:val="en-US" w:eastAsia="zh-CN"/>
                    </w:rPr>
                    <w:t>432</w:t>
                  </w:r>
                  <w:r>
                    <w:rPr>
                      <w:rFonts w:hint="eastAsia" w:ascii="Times New Roman" w:hAnsi="Times New Roman" w:eastAsiaTheme="minorEastAsia"/>
                      <w:color w:val="auto"/>
                      <w:sz w:val="18"/>
                      <w:szCs w:val="18"/>
                    </w:rPr>
                    <w:t>0</w:t>
                  </w:r>
                </w:p>
              </w:tc>
            </w:tr>
            <w:tr w14:paraId="2935C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jc w:val="center"/>
              </w:trPr>
              <w:tc>
                <w:tcPr>
                  <w:tcW w:w="735" w:type="dxa"/>
                  <w:vMerge w:val="restart"/>
                  <w:vAlign w:val="center"/>
                </w:tcPr>
                <w:p w14:paraId="1589D73A">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污水处</w:t>
                  </w:r>
                </w:p>
                <w:p w14:paraId="4418D6C1">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理站</w:t>
                  </w:r>
                </w:p>
              </w:tc>
              <w:tc>
                <w:tcPr>
                  <w:tcW w:w="913" w:type="dxa"/>
                  <w:vAlign w:val="center"/>
                </w:tcPr>
                <w:p w14:paraId="754AFC22">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水泵</w:t>
                  </w:r>
                </w:p>
              </w:tc>
              <w:tc>
                <w:tcPr>
                  <w:tcW w:w="567" w:type="dxa"/>
                  <w:vAlign w:val="center"/>
                </w:tcPr>
                <w:p w14:paraId="13AF3BC8">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偶发</w:t>
                  </w:r>
                </w:p>
              </w:tc>
              <w:tc>
                <w:tcPr>
                  <w:tcW w:w="567" w:type="dxa"/>
                  <w:vMerge w:val="continue"/>
                  <w:vAlign w:val="center"/>
                </w:tcPr>
                <w:p w14:paraId="2907823D">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p>
              </w:tc>
              <w:tc>
                <w:tcPr>
                  <w:tcW w:w="709" w:type="dxa"/>
                  <w:vAlign w:val="center"/>
                </w:tcPr>
                <w:p w14:paraId="6376F342">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80</w:t>
                  </w:r>
                </w:p>
              </w:tc>
              <w:tc>
                <w:tcPr>
                  <w:tcW w:w="1722" w:type="dxa"/>
                  <w:vAlign w:val="center"/>
                </w:tcPr>
                <w:p w14:paraId="00D413B2">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Theme="minorEastAsia"/>
                      <w:color w:val="auto"/>
                      <w:spacing w:val="1"/>
                      <w:sz w:val="18"/>
                      <w:szCs w:val="18"/>
                    </w:rPr>
                  </w:pPr>
                  <w:r>
                    <w:rPr>
                      <w:rFonts w:hint="default" w:ascii="Times New Roman" w:hAnsi="Times New Roman" w:eastAsiaTheme="minorEastAsia"/>
                      <w:color w:val="auto"/>
                      <w:spacing w:val="1"/>
                      <w:sz w:val="18"/>
                      <w:szCs w:val="18"/>
                    </w:rPr>
                    <w:t>优选设备、减振，建筑隔声</w:t>
                  </w:r>
                </w:p>
              </w:tc>
              <w:tc>
                <w:tcPr>
                  <w:tcW w:w="567" w:type="dxa"/>
                  <w:vAlign w:val="center"/>
                </w:tcPr>
                <w:p w14:paraId="6B18216E">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20</w:t>
                  </w:r>
                </w:p>
              </w:tc>
              <w:tc>
                <w:tcPr>
                  <w:tcW w:w="633" w:type="dxa"/>
                  <w:vMerge w:val="continue"/>
                  <w:vAlign w:val="center"/>
                </w:tcPr>
                <w:p w14:paraId="7698A8B2">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p>
              </w:tc>
              <w:tc>
                <w:tcPr>
                  <w:tcW w:w="658" w:type="dxa"/>
                  <w:vAlign w:val="center"/>
                </w:tcPr>
                <w:p w14:paraId="1BFF51E6">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60</w:t>
                  </w:r>
                </w:p>
              </w:tc>
              <w:tc>
                <w:tcPr>
                  <w:tcW w:w="711" w:type="dxa"/>
                  <w:vAlign w:val="center"/>
                </w:tcPr>
                <w:p w14:paraId="364B39E6">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z w:val="18"/>
                      <w:szCs w:val="18"/>
                    </w:rPr>
                  </w:pPr>
                  <w:r>
                    <w:rPr>
                      <w:rFonts w:hint="eastAsia" w:ascii="Times New Roman" w:hAnsi="Times New Roman" w:eastAsiaTheme="minorEastAsia"/>
                      <w:color w:val="auto"/>
                      <w:sz w:val="18"/>
                      <w:szCs w:val="18"/>
                    </w:rPr>
                    <w:t>900</w:t>
                  </w:r>
                </w:p>
              </w:tc>
            </w:tr>
            <w:tr w14:paraId="1EDF1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jc w:val="center"/>
              </w:trPr>
              <w:tc>
                <w:tcPr>
                  <w:tcW w:w="735" w:type="dxa"/>
                  <w:vMerge w:val="continue"/>
                  <w:vAlign w:val="center"/>
                </w:tcPr>
                <w:p w14:paraId="4FE75E45">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p>
              </w:tc>
              <w:tc>
                <w:tcPr>
                  <w:tcW w:w="913" w:type="dxa"/>
                  <w:vAlign w:val="center"/>
                </w:tcPr>
                <w:p w14:paraId="02AB195D">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通风设备</w:t>
                  </w:r>
                </w:p>
              </w:tc>
              <w:tc>
                <w:tcPr>
                  <w:tcW w:w="567" w:type="dxa"/>
                  <w:vAlign w:val="center"/>
                </w:tcPr>
                <w:p w14:paraId="0892DE79">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偶发</w:t>
                  </w:r>
                </w:p>
              </w:tc>
              <w:tc>
                <w:tcPr>
                  <w:tcW w:w="567" w:type="dxa"/>
                  <w:vMerge w:val="continue"/>
                  <w:vAlign w:val="center"/>
                </w:tcPr>
                <w:p w14:paraId="72FCFBA8">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p>
              </w:tc>
              <w:tc>
                <w:tcPr>
                  <w:tcW w:w="709" w:type="dxa"/>
                  <w:vAlign w:val="center"/>
                </w:tcPr>
                <w:p w14:paraId="13B7F4FC">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75</w:t>
                  </w:r>
                </w:p>
              </w:tc>
              <w:tc>
                <w:tcPr>
                  <w:tcW w:w="1722" w:type="dxa"/>
                  <w:vAlign w:val="center"/>
                </w:tcPr>
                <w:p w14:paraId="777A062D">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Theme="minorEastAsia"/>
                      <w:color w:val="auto"/>
                      <w:spacing w:val="1"/>
                      <w:sz w:val="18"/>
                      <w:szCs w:val="18"/>
                    </w:rPr>
                  </w:pPr>
                  <w:r>
                    <w:rPr>
                      <w:rFonts w:hint="default" w:ascii="Times New Roman" w:hAnsi="Times New Roman" w:eastAsiaTheme="minorEastAsia"/>
                      <w:color w:val="auto"/>
                      <w:spacing w:val="1"/>
                      <w:sz w:val="18"/>
                      <w:szCs w:val="18"/>
                    </w:rPr>
                    <w:t>优选设备、减振</w:t>
                  </w:r>
                </w:p>
              </w:tc>
              <w:tc>
                <w:tcPr>
                  <w:tcW w:w="567" w:type="dxa"/>
                  <w:vAlign w:val="center"/>
                </w:tcPr>
                <w:p w14:paraId="617BC94E">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20</w:t>
                  </w:r>
                </w:p>
              </w:tc>
              <w:tc>
                <w:tcPr>
                  <w:tcW w:w="633" w:type="dxa"/>
                  <w:vMerge w:val="continue"/>
                  <w:vAlign w:val="center"/>
                </w:tcPr>
                <w:p w14:paraId="285819CB">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p>
              </w:tc>
              <w:tc>
                <w:tcPr>
                  <w:tcW w:w="658" w:type="dxa"/>
                  <w:vAlign w:val="center"/>
                </w:tcPr>
                <w:p w14:paraId="568679CD">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55</w:t>
                  </w:r>
                </w:p>
              </w:tc>
              <w:tc>
                <w:tcPr>
                  <w:tcW w:w="711" w:type="dxa"/>
                  <w:vAlign w:val="center"/>
                </w:tcPr>
                <w:p w14:paraId="467AEC03">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z w:val="18"/>
                      <w:szCs w:val="18"/>
                    </w:rPr>
                  </w:pPr>
                  <w:r>
                    <w:rPr>
                      <w:rFonts w:hint="eastAsia" w:ascii="Times New Roman" w:hAnsi="Times New Roman" w:eastAsiaTheme="minorEastAsia"/>
                      <w:color w:val="auto"/>
                      <w:sz w:val="18"/>
                      <w:szCs w:val="18"/>
                    </w:rPr>
                    <w:t>3700</w:t>
                  </w:r>
                </w:p>
              </w:tc>
            </w:tr>
            <w:tr w14:paraId="1ADC1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jc w:val="center"/>
              </w:trPr>
              <w:tc>
                <w:tcPr>
                  <w:tcW w:w="735" w:type="dxa"/>
                  <w:vAlign w:val="center"/>
                </w:tcPr>
                <w:p w14:paraId="2DDFF8A9">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院区</w:t>
                  </w:r>
                </w:p>
              </w:tc>
              <w:tc>
                <w:tcPr>
                  <w:tcW w:w="913" w:type="dxa"/>
                  <w:vAlign w:val="center"/>
                </w:tcPr>
                <w:p w14:paraId="175715B9">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olor w:val="auto"/>
                      <w:sz w:val="18"/>
                      <w:szCs w:val="18"/>
                    </w:rPr>
                    <w:t>通风设备</w:t>
                  </w:r>
                </w:p>
              </w:tc>
              <w:tc>
                <w:tcPr>
                  <w:tcW w:w="567" w:type="dxa"/>
                  <w:vAlign w:val="center"/>
                </w:tcPr>
                <w:p w14:paraId="3B04DAE3">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olor w:val="auto"/>
                      <w:sz w:val="18"/>
                      <w:szCs w:val="18"/>
                    </w:rPr>
                    <w:t>间歇性</w:t>
                  </w:r>
                </w:p>
              </w:tc>
              <w:tc>
                <w:tcPr>
                  <w:tcW w:w="567" w:type="dxa"/>
                  <w:vMerge w:val="continue"/>
                  <w:vAlign w:val="center"/>
                </w:tcPr>
                <w:p w14:paraId="019FED93">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p>
              </w:tc>
              <w:tc>
                <w:tcPr>
                  <w:tcW w:w="709" w:type="dxa"/>
                  <w:vAlign w:val="center"/>
                </w:tcPr>
                <w:p w14:paraId="770D33CD">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70</w:t>
                  </w:r>
                </w:p>
              </w:tc>
              <w:tc>
                <w:tcPr>
                  <w:tcW w:w="1722" w:type="dxa"/>
                  <w:vAlign w:val="center"/>
                </w:tcPr>
                <w:p w14:paraId="7C9BF953">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Theme="minorEastAsia"/>
                      <w:color w:val="auto"/>
                      <w:spacing w:val="1"/>
                      <w:sz w:val="18"/>
                      <w:szCs w:val="18"/>
                    </w:rPr>
                  </w:pPr>
                  <w:r>
                    <w:rPr>
                      <w:rFonts w:hint="default" w:ascii="Times New Roman" w:hAnsi="Times New Roman" w:eastAsiaTheme="minorEastAsia"/>
                      <w:color w:val="auto"/>
                      <w:spacing w:val="1"/>
                      <w:sz w:val="18"/>
                      <w:szCs w:val="18"/>
                    </w:rPr>
                    <w:t>优选设备、减振</w:t>
                  </w:r>
                </w:p>
              </w:tc>
              <w:tc>
                <w:tcPr>
                  <w:tcW w:w="567" w:type="dxa"/>
                  <w:vAlign w:val="center"/>
                </w:tcPr>
                <w:p w14:paraId="357A18AD">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20</w:t>
                  </w:r>
                </w:p>
              </w:tc>
              <w:tc>
                <w:tcPr>
                  <w:tcW w:w="633" w:type="dxa"/>
                  <w:vMerge w:val="continue"/>
                  <w:vAlign w:val="center"/>
                </w:tcPr>
                <w:p w14:paraId="766BABB1">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p>
              </w:tc>
              <w:tc>
                <w:tcPr>
                  <w:tcW w:w="658" w:type="dxa"/>
                  <w:vAlign w:val="center"/>
                </w:tcPr>
                <w:p w14:paraId="159BA1A6">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50</w:t>
                  </w:r>
                </w:p>
              </w:tc>
              <w:tc>
                <w:tcPr>
                  <w:tcW w:w="711" w:type="dxa"/>
                  <w:vAlign w:val="center"/>
                </w:tcPr>
                <w:p w14:paraId="7A16C395">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z w:val="18"/>
                      <w:szCs w:val="18"/>
                    </w:rPr>
                  </w:pPr>
                  <w:r>
                    <w:rPr>
                      <w:rFonts w:hint="eastAsia" w:ascii="Times New Roman" w:hAnsi="Times New Roman" w:eastAsiaTheme="minorEastAsia"/>
                      <w:color w:val="auto"/>
                      <w:sz w:val="18"/>
                      <w:szCs w:val="18"/>
                    </w:rPr>
                    <w:t>2000</w:t>
                  </w:r>
                </w:p>
              </w:tc>
            </w:tr>
            <w:tr w14:paraId="64683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jc w:val="center"/>
              </w:trPr>
              <w:tc>
                <w:tcPr>
                  <w:tcW w:w="735" w:type="dxa"/>
                  <w:vAlign w:val="center"/>
                </w:tcPr>
                <w:p w14:paraId="2C837B3E">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社会生活</w:t>
                  </w:r>
                </w:p>
              </w:tc>
              <w:tc>
                <w:tcPr>
                  <w:tcW w:w="913" w:type="dxa"/>
                  <w:vAlign w:val="center"/>
                </w:tcPr>
                <w:p w14:paraId="5CC47E6E">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人类活动</w:t>
                  </w:r>
                </w:p>
              </w:tc>
              <w:tc>
                <w:tcPr>
                  <w:tcW w:w="567" w:type="dxa"/>
                  <w:vAlign w:val="center"/>
                </w:tcPr>
                <w:p w14:paraId="1468F67F">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r>
                    <w:rPr>
                      <w:rFonts w:hint="default" w:ascii="Times New Roman" w:hAnsi="Times New Roman"/>
                      <w:color w:val="auto"/>
                      <w:sz w:val="18"/>
                      <w:szCs w:val="18"/>
                    </w:rPr>
                    <w:t>间歇性</w:t>
                  </w:r>
                </w:p>
              </w:tc>
              <w:tc>
                <w:tcPr>
                  <w:tcW w:w="567" w:type="dxa"/>
                  <w:vMerge w:val="continue"/>
                  <w:vAlign w:val="center"/>
                </w:tcPr>
                <w:p w14:paraId="299B7E70">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p>
              </w:tc>
              <w:tc>
                <w:tcPr>
                  <w:tcW w:w="709" w:type="dxa"/>
                  <w:vAlign w:val="center"/>
                </w:tcPr>
                <w:p w14:paraId="35975738">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75</w:t>
                  </w:r>
                </w:p>
              </w:tc>
              <w:tc>
                <w:tcPr>
                  <w:tcW w:w="1722" w:type="dxa"/>
                  <w:vAlign w:val="center"/>
                </w:tcPr>
                <w:p w14:paraId="14469FFA">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Times New Roman" w:hAnsi="Times New Roman" w:eastAsiaTheme="minorEastAsia"/>
                      <w:color w:val="auto"/>
                      <w:spacing w:val="1"/>
                      <w:sz w:val="18"/>
                      <w:szCs w:val="18"/>
                    </w:rPr>
                  </w:pPr>
                  <w:r>
                    <w:rPr>
                      <w:rFonts w:hint="default" w:ascii="Times New Roman" w:hAnsi="Times New Roman" w:eastAsiaTheme="minorEastAsia"/>
                      <w:color w:val="auto"/>
                      <w:spacing w:val="1"/>
                      <w:sz w:val="18"/>
                      <w:szCs w:val="18"/>
                    </w:rPr>
                    <w:t>加强引导、管理</w:t>
                  </w:r>
                </w:p>
              </w:tc>
              <w:tc>
                <w:tcPr>
                  <w:tcW w:w="567" w:type="dxa"/>
                  <w:vAlign w:val="center"/>
                </w:tcPr>
                <w:p w14:paraId="527B0185">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15</w:t>
                  </w:r>
                </w:p>
              </w:tc>
              <w:tc>
                <w:tcPr>
                  <w:tcW w:w="633" w:type="dxa"/>
                  <w:vMerge w:val="continue"/>
                  <w:vAlign w:val="center"/>
                </w:tcPr>
                <w:p w14:paraId="3351180E">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color w:val="auto"/>
                      <w:sz w:val="18"/>
                      <w:szCs w:val="18"/>
                    </w:rPr>
                  </w:pPr>
                </w:p>
              </w:tc>
              <w:tc>
                <w:tcPr>
                  <w:tcW w:w="658" w:type="dxa"/>
                  <w:vAlign w:val="center"/>
                </w:tcPr>
                <w:p w14:paraId="22B65B34">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pacing w:val="1"/>
                      <w:sz w:val="18"/>
                      <w:szCs w:val="18"/>
                    </w:rPr>
                  </w:pPr>
                  <w:r>
                    <w:rPr>
                      <w:rFonts w:hint="eastAsia" w:ascii="Times New Roman" w:hAnsi="Times New Roman" w:eastAsiaTheme="minorEastAsia"/>
                      <w:color w:val="auto"/>
                      <w:spacing w:val="1"/>
                      <w:sz w:val="18"/>
                      <w:szCs w:val="18"/>
                    </w:rPr>
                    <w:t>60</w:t>
                  </w:r>
                </w:p>
              </w:tc>
              <w:tc>
                <w:tcPr>
                  <w:tcW w:w="711" w:type="dxa"/>
                  <w:vAlign w:val="center"/>
                </w:tcPr>
                <w:p w14:paraId="18AB4D3A">
                  <w:pPr>
                    <w:pStyle w:val="39"/>
                    <w:keepNext w:val="0"/>
                    <w:keepLines w:val="0"/>
                    <w:pageBreakBefore w:val="0"/>
                    <w:suppressLineNumbers w:val="0"/>
                    <w:kinsoku/>
                    <w:wordWrap/>
                    <w:overflowPunct/>
                    <w:topLinePunct w:val="0"/>
                    <w:autoSpaceDE/>
                    <w:autoSpaceDN/>
                    <w:bidi w:val="0"/>
                    <w:adjustRightInd/>
                    <w:snapToGrid/>
                    <w:spacing w:before="0" w:beforeAutospacing="0" w:after="0" w:afterAutospacing="0" w:line="300" w:lineRule="exact"/>
                    <w:ind w:left="-53" w:leftChars="-25" w:right="-53" w:rightChars="-25"/>
                    <w:jc w:val="center"/>
                    <w:textAlignment w:val="auto"/>
                    <w:rPr>
                      <w:rFonts w:hint="default" w:ascii="Times New Roman" w:hAnsi="Times New Roman" w:eastAsiaTheme="minorEastAsia"/>
                      <w:color w:val="auto"/>
                      <w:sz w:val="18"/>
                      <w:szCs w:val="18"/>
                    </w:rPr>
                  </w:pPr>
                  <w:r>
                    <w:rPr>
                      <w:rFonts w:hint="eastAsia" w:ascii="Times New Roman" w:hAnsi="Times New Roman" w:eastAsiaTheme="minorEastAsia"/>
                      <w:color w:val="auto"/>
                      <w:sz w:val="18"/>
                      <w:szCs w:val="18"/>
                    </w:rPr>
                    <w:t>2900</w:t>
                  </w:r>
                </w:p>
              </w:tc>
            </w:tr>
          </w:tbl>
          <w:p w14:paraId="3C0AD529">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（3）噪声达标排放分析</w:t>
            </w:r>
          </w:p>
          <w:p w14:paraId="4D1943A8">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项目污水处理站位于</w:t>
            </w:r>
            <w:r>
              <w:rPr>
                <w:rFonts w:hint="eastAsia"/>
                <w:color w:val="auto"/>
                <w:szCs w:val="21"/>
                <w:lang w:val="en-US" w:eastAsia="zh-CN"/>
              </w:rPr>
              <w:t>专用房间内</w:t>
            </w:r>
            <w:r>
              <w:rPr>
                <w:rFonts w:hint="eastAsia"/>
                <w:color w:val="auto"/>
                <w:szCs w:val="21"/>
              </w:rPr>
              <w:t>，水泵及通风设备的偶发噪声</w:t>
            </w:r>
            <w:r>
              <w:rPr>
                <w:rFonts w:hint="eastAsia"/>
                <w:color w:val="auto"/>
                <w:szCs w:val="21"/>
                <w:lang w:eastAsia="zh-CN"/>
              </w:rPr>
              <w:t>，</w:t>
            </w:r>
            <w:r>
              <w:rPr>
                <w:rFonts w:hint="eastAsia"/>
                <w:color w:val="auto"/>
                <w:szCs w:val="21"/>
                <w:lang w:val="en-US" w:eastAsia="zh-CN"/>
              </w:rPr>
              <w:t>经建筑隔声、消声减振后对外环</w:t>
            </w:r>
            <w:r>
              <w:rPr>
                <w:rFonts w:hint="eastAsia"/>
                <w:color w:val="auto"/>
                <w:szCs w:val="21"/>
              </w:rPr>
              <w:t>影响较小。</w:t>
            </w:r>
            <w:r>
              <w:rPr>
                <w:rFonts w:hint="eastAsia"/>
                <w:color w:val="auto"/>
                <w:szCs w:val="21"/>
                <w:lang w:val="en-US" w:eastAsia="zh-CN"/>
              </w:rPr>
              <w:t>医疗楼内各类设备噪声，通过建筑隔声、减振等措施后，对外环境的噪声影响较小，而中央空调的外机设备布置在室外，相对而言对外环境有较大影响。因此，本</w:t>
            </w:r>
            <w:r>
              <w:rPr>
                <w:rFonts w:hint="eastAsia"/>
                <w:color w:val="auto"/>
                <w:szCs w:val="21"/>
              </w:rPr>
              <w:t>次环评噪声预测选取</w:t>
            </w:r>
            <w:r>
              <w:rPr>
                <w:rFonts w:hint="eastAsia"/>
                <w:color w:val="auto"/>
                <w:szCs w:val="21"/>
                <w:lang w:val="en-US" w:eastAsia="zh-CN"/>
              </w:rPr>
              <w:t>中央空调外机</w:t>
            </w:r>
            <w:r>
              <w:rPr>
                <w:rFonts w:hint="eastAsia"/>
                <w:color w:val="auto"/>
                <w:szCs w:val="21"/>
              </w:rPr>
              <w:t>的运行噪声作为噪声源。</w:t>
            </w:r>
          </w:p>
          <w:p w14:paraId="2D7C28B0">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lang w:val="en-US" w:eastAsia="zh-CN"/>
              </w:rPr>
              <w:t>项目区周边50m范围内没有声环境保护目标，本次评价仅</w:t>
            </w:r>
            <w:r>
              <w:rPr>
                <w:rFonts w:hint="default"/>
                <w:color w:val="auto"/>
                <w:szCs w:val="21"/>
              </w:rPr>
              <w:t>按照“环评导则”推荐的噪声衰减预测模式，</w:t>
            </w:r>
            <w:r>
              <w:rPr>
                <w:rFonts w:hint="eastAsia"/>
                <w:color w:val="auto"/>
                <w:szCs w:val="21"/>
                <w:lang w:val="en-US" w:eastAsia="zh-CN"/>
              </w:rPr>
              <w:t>预测场界处的</w:t>
            </w:r>
            <w:r>
              <w:rPr>
                <w:rFonts w:hint="default"/>
                <w:color w:val="auto"/>
                <w:szCs w:val="21"/>
              </w:rPr>
              <w:t>噪声贡献值</w:t>
            </w:r>
            <w:r>
              <w:rPr>
                <w:rFonts w:hint="eastAsia"/>
                <w:color w:val="auto"/>
                <w:szCs w:val="21"/>
                <w:lang w:eastAsia="zh-CN"/>
              </w:rPr>
              <w:t>。</w:t>
            </w:r>
            <w:r>
              <w:rPr>
                <w:rFonts w:hint="default"/>
                <w:color w:val="auto"/>
                <w:szCs w:val="21"/>
              </w:rPr>
              <w:t>经预测计算得到的结果见下表。</w:t>
            </w:r>
          </w:p>
          <w:p w14:paraId="24170731">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 xml:space="preserve">4-11     </w:t>
            </w:r>
            <w:r>
              <w:rPr>
                <w:rFonts w:hint="default" w:eastAsia="黑体"/>
                <w:color w:val="auto"/>
                <w:sz w:val="18"/>
                <w:szCs w:val="18"/>
              </w:rPr>
              <w:t xml:space="preserve">   噪声预测计算结果   单位：dB(A)</w:t>
            </w:r>
          </w:p>
          <w:tbl>
            <w:tblPr>
              <w:tblStyle w:val="13"/>
              <w:tblW w:w="7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2"/>
              <w:gridCol w:w="646"/>
              <w:gridCol w:w="1371"/>
              <w:gridCol w:w="809"/>
              <w:gridCol w:w="808"/>
              <w:gridCol w:w="646"/>
              <w:gridCol w:w="576"/>
              <w:gridCol w:w="556"/>
              <w:gridCol w:w="576"/>
              <w:gridCol w:w="555"/>
            </w:tblGrid>
            <w:tr w14:paraId="61431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192" w:type="dxa"/>
                  <w:vMerge w:val="restart"/>
                  <w:vAlign w:val="center"/>
                </w:tcPr>
                <w:p w14:paraId="083DA5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color w:val="auto"/>
                      <w:sz w:val="18"/>
                      <w:szCs w:val="18"/>
                    </w:rPr>
                  </w:pPr>
                  <w:r>
                    <w:rPr>
                      <w:rFonts w:hint="default"/>
                      <w:color w:val="auto"/>
                      <w:sz w:val="18"/>
                      <w:szCs w:val="18"/>
                    </w:rPr>
                    <w:t>名称</w:t>
                  </w:r>
                </w:p>
              </w:tc>
              <w:tc>
                <w:tcPr>
                  <w:tcW w:w="646" w:type="dxa"/>
                  <w:vMerge w:val="restart"/>
                  <w:vAlign w:val="center"/>
                </w:tcPr>
                <w:p w14:paraId="5AC6DB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源强</w:t>
                  </w:r>
                </w:p>
              </w:tc>
              <w:tc>
                <w:tcPr>
                  <w:tcW w:w="1371" w:type="dxa"/>
                  <w:vMerge w:val="restart"/>
                  <w:vAlign w:val="center"/>
                </w:tcPr>
                <w:p w14:paraId="0B3A1A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降噪措施及综合降噪效果</w:t>
                  </w:r>
                </w:p>
              </w:tc>
              <w:tc>
                <w:tcPr>
                  <w:tcW w:w="809" w:type="dxa"/>
                  <w:vMerge w:val="restart"/>
                  <w:vAlign w:val="center"/>
                </w:tcPr>
                <w:p w14:paraId="69B60C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降噪后声级</w:t>
                  </w:r>
                </w:p>
              </w:tc>
              <w:tc>
                <w:tcPr>
                  <w:tcW w:w="808" w:type="dxa"/>
                  <w:vMerge w:val="restart"/>
                  <w:vAlign w:val="center"/>
                </w:tcPr>
                <w:p w14:paraId="7F22D4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衰减</w:t>
                  </w:r>
                </w:p>
                <w:p w14:paraId="397B9B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距离</w:t>
                  </w:r>
                </w:p>
              </w:tc>
              <w:tc>
                <w:tcPr>
                  <w:tcW w:w="646" w:type="dxa"/>
                  <w:vMerge w:val="restart"/>
                  <w:vAlign w:val="center"/>
                </w:tcPr>
                <w:p w14:paraId="35CBB0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贡献值</w:t>
                  </w:r>
                </w:p>
              </w:tc>
              <w:tc>
                <w:tcPr>
                  <w:tcW w:w="1132" w:type="dxa"/>
                  <w:gridSpan w:val="2"/>
                  <w:vAlign w:val="center"/>
                </w:tcPr>
                <w:p w14:paraId="33B4E8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背景值*</w:t>
                  </w:r>
                </w:p>
              </w:tc>
              <w:tc>
                <w:tcPr>
                  <w:tcW w:w="1131" w:type="dxa"/>
                  <w:gridSpan w:val="2"/>
                  <w:vAlign w:val="center"/>
                </w:tcPr>
                <w:p w14:paraId="0D647D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预测值</w:t>
                  </w:r>
                </w:p>
              </w:tc>
            </w:tr>
            <w:tr w14:paraId="0F5D7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192" w:type="dxa"/>
                  <w:vMerge w:val="continue"/>
                  <w:vAlign w:val="center"/>
                </w:tcPr>
                <w:p w14:paraId="2FFB74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color w:val="auto"/>
                      <w:sz w:val="18"/>
                      <w:szCs w:val="18"/>
                    </w:rPr>
                  </w:pPr>
                </w:p>
              </w:tc>
              <w:tc>
                <w:tcPr>
                  <w:tcW w:w="646" w:type="dxa"/>
                  <w:vMerge w:val="continue"/>
                  <w:vAlign w:val="center"/>
                </w:tcPr>
                <w:p w14:paraId="0126F1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p>
              </w:tc>
              <w:tc>
                <w:tcPr>
                  <w:tcW w:w="1371" w:type="dxa"/>
                  <w:vMerge w:val="continue"/>
                  <w:vAlign w:val="center"/>
                </w:tcPr>
                <w:p w14:paraId="35797C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p>
              </w:tc>
              <w:tc>
                <w:tcPr>
                  <w:tcW w:w="809" w:type="dxa"/>
                  <w:vMerge w:val="continue"/>
                  <w:vAlign w:val="center"/>
                </w:tcPr>
                <w:p w14:paraId="72065E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p>
              </w:tc>
              <w:tc>
                <w:tcPr>
                  <w:tcW w:w="808" w:type="dxa"/>
                  <w:vMerge w:val="continue"/>
                  <w:vAlign w:val="center"/>
                </w:tcPr>
                <w:p w14:paraId="12348C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p>
              </w:tc>
              <w:tc>
                <w:tcPr>
                  <w:tcW w:w="646" w:type="dxa"/>
                  <w:vMerge w:val="continue"/>
                  <w:vAlign w:val="center"/>
                </w:tcPr>
                <w:p w14:paraId="14211C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p>
              </w:tc>
              <w:tc>
                <w:tcPr>
                  <w:tcW w:w="576" w:type="dxa"/>
                  <w:vAlign w:val="center"/>
                </w:tcPr>
                <w:p w14:paraId="0D3592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昼间</w:t>
                  </w:r>
                </w:p>
              </w:tc>
              <w:tc>
                <w:tcPr>
                  <w:tcW w:w="556" w:type="dxa"/>
                  <w:vAlign w:val="center"/>
                </w:tcPr>
                <w:p w14:paraId="0B1451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夜间</w:t>
                  </w:r>
                </w:p>
              </w:tc>
              <w:tc>
                <w:tcPr>
                  <w:tcW w:w="576" w:type="dxa"/>
                  <w:vAlign w:val="center"/>
                </w:tcPr>
                <w:p w14:paraId="227289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昼间</w:t>
                  </w:r>
                </w:p>
              </w:tc>
              <w:tc>
                <w:tcPr>
                  <w:tcW w:w="555" w:type="dxa"/>
                  <w:vAlign w:val="center"/>
                </w:tcPr>
                <w:p w14:paraId="0243A1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夜间</w:t>
                  </w:r>
                </w:p>
              </w:tc>
            </w:tr>
            <w:tr w14:paraId="1250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192" w:type="dxa"/>
                  <w:vAlign w:val="center"/>
                </w:tcPr>
                <w:p w14:paraId="4472A8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color w:val="auto"/>
                      <w:sz w:val="18"/>
                      <w:szCs w:val="18"/>
                    </w:rPr>
                  </w:pPr>
                  <w:r>
                    <w:rPr>
                      <w:rFonts w:hint="default"/>
                      <w:color w:val="auto"/>
                      <w:sz w:val="18"/>
                      <w:szCs w:val="18"/>
                    </w:rPr>
                    <w:t>院区东界</w:t>
                  </w:r>
                </w:p>
              </w:tc>
              <w:tc>
                <w:tcPr>
                  <w:tcW w:w="646" w:type="dxa"/>
                  <w:vAlign w:val="center"/>
                </w:tcPr>
                <w:p w14:paraId="6C8E09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eastAsia"/>
                      <w:color w:val="auto"/>
                      <w:sz w:val="18"/>
                      <w:szCs w:val="18"/>
                    </w:rPr>
                    <w:t>90</w:t>
                  </w:r>
                </w:p>
              </w:tc>
              <w:tc>
                <w:tcPr>
                  <w:tcW w:w="1371" w:type="dxa"/>
                  <w:vMerge w:val="restart"/>
                  <w:vAlign w:val="center"/>
                </w:tcPr>
                <w:p w14:paraId="732A249F">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textAlignment w:val="auto"/>
                    <w:rPr>
                      <w:rFonts w:hint="default" w:eastAsia="宋体" w:cs="Times New Roman"/>
                      <w:color w:val="auto"/>
                      <w:sz w:val="18"/>
                      <w:szCs w:val="18"/>
                      <w:lang w:val="en-US" w:eastAsia="zh-CN"/>
                    </w:rPr>
                  </w:pPr>
                  <w:r>
                    <w:rPr>
                      <w:rFonts w:hint="default" w:cs="Times New Roman"/>
                      <w:color w:val="auto"/>
                      <w:sz w:val="18"/>
                      <w:szCs w:val="18"/>
                    </w:rPr>
                    <w:t>优选设备、</w:t>
                  </w:r>
                  <w:r>
                    <w:rPr>
                      <w:rFonts w:hint="eastAsia" w:cs="Times New Roman"/>
                      <w:color w:val="auto"/>
                      <w:sz w:val="18"/>
                      <w:szCs w:val="18"/>
                      <w:lang w:val="en-US" w:eastAsia="zh-CN"/>
                    </w:rPr>
                    <w:t>基础</w:t>
                  </w:r>
                  <w:r>
                    <w:rPr>
                      <w:rFonts w:hint="default" w:cs="Times New Roman"/>
                      <w:color w:val="auto"/>
                      <w:sz w:val="18"/>
                      <w:szCs w:val="18"/>
                    </w:rPr>
                    <w:t>减振，风口软管连接</w:t>
                  </w:r>
                  <w:r>
                    <w:rPr>
                      <w:rFonts w:hint="eastAsia" w:cs="Times New Roman"/>
                      <w:color w:val="auto"/>
                      <w:sz w:val="18"/>
                      <w:szCs w:val="18"/>
                      <w:lang w:eastAsia="zh-CN"/>
                    </w:rPr>
                    <w:t>、</w:t>
                  </w:r>
                  <w:r>
                    <w:rPr>
                      <w:rFonts w:hint="eastAsia" w:cs="Times New Roman"/>
                      <w:color w:val="auto"/>
                      <w:sz w:val="18"/>
                      <w:szCs w:val="18"/>
                      <w:lang w:val="en-US" w:eastAsia="zh-CN"/>
                    </w:rPr>
                    <w:t>绿化围墙阻挡</w:t>
                  </w:r>
                  <w:r>
                    <w:rPr>
                      <w:rFonts w:hint="default" w:cs="Times New Roman"/>
                      <w:color w:val="auto"/>
                      <w:sz w:val="18"/>
                      <w:szCs w:val="18"/>
                    </w:rPr>
                    <w:t>，</w:t>
                  </w:r>
                  <w:r>
                    <w:rPr>
                      <w:rFonts w:hint="eastAsia" w:cs="Times New Roman"/>
                      <w:color w:val="auto"/>
                      <w:sz w:val="18"/>
                      <w:szCs w:val="18"/>
                      <w:lang w:val="en-US" w:eastAsia="zh-CN"/>
                    </w:rPr>
                    <w:t>-20</w:t>
                  </w:r>
                </w:p>
              </w:tc>
              <w:tc>
                <w:tcPr>
                  <w:tcW w:w="809" w:type="dxa"/>
                  <w:vAlign w:val="center"/>
                </w:tcPr>
                <w:p w14:paraId="4180EF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eastAsia="宋体"/>
                      <w:color w:val="auto"/>
                      <w:sz w:val="18"/>
                      <w:szCs w:val="18"/>
                      <w:lang w:val="en-US" w:eastAsia="zh-CN"/>
                    </w:rPr>
                  </w:pPr>
                  <w:r>
                    <w:rPr>
                      <w:rFonts w:hint="eastAsia"/>
                      <w:color w:val="auto"/>
                      <w:sz w:val="18"/>
                      <w:szCs w:val="18"/>
                      <w:lang w:val="en-US" w:eastAsia="zh-CN"/>
                    </w:rPr>
                    <w:t>70</w:t>
                  </w:r>
                </w:p>
              </w:tc>
              <w:tc>
                <w:tcPr>
                  <w:tcW w:w="808" w:type="dxa"/>
                  <w:vAlign w:val="center"/>
                </w:tcPr>
                <w:p w14:paraId="337C83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eastAsia"/>
                      <w:color w:val="auto"/>
                      <w:sz w:val="18"/>
                      <w:szCs w:val="18"/>
                      <w:lang w:val="en-US" w:eastAsia="zh-CN"/>
                    </w:rPr>
                    <w:t>12</w:t>
                  </w:r>
                  <w:r>
                    <w:rPr>
                      <w:rFonts w:hint="eastAsia"/>
                      <w:color w:val="auto"/>
                      <w:sz w:val="18"/>
                      <w:szCs w:val="18"/>
                    </w:rPr>
                    <w:t>m</w:t>
                  </w:r>
                </w:p>
              </w:tc>
              <w:tc>
                <w:tcPr>
                  <w:tcW w:w="646" w:type="dxa"/>
                  <w:vAlign w:val="bottom"/>
                </w:tcPr>
                <w:p w14:paraId="62F90F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lang w:val="en-US" w:eastAsia="zh-CN"/>
                    </w:rPr>
                  </w:pPr>
                  <w:r>
                    <w:rPr>
                      <w:rFonts w:hint="default"/>
                      <w:color w:val="auto"/>
                      <w:sz w:val="18"/>
                      <w:szCs w:val="18"/>
                      <w:lang w:val="en-US" w:eastAsia="zh-CN"/>
                    </w:rPr>
                    <w:t xml:space="preserve">48.4 </w:t>
                  </w:r>
                </w:p>
              </w:tc>
              <w:tc>
                <w:tcPr>
                  <w:tcW w:w="576" w:type="dxa"/>
                  <w:vAlign w:val="center"/>
                </w:tcPr>
                <w:p w14:paraId="42AB7C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56" w:type="dxa"/>
                  <w:vAlign w:val="center"/>
                </w:tcPr>
                <w:p w14:paraId="17F4917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76" w:type="dxa"/>
                  <w:vAlign w:val="center"/>
                </w:tcPr>
                <w:p w14:paraId="18CB9B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55" w:type="dxa"/>
                  <w:vAlign w:val="center"/>
                </w:tcPr>
                <w:p w14:paraId="193258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r>
            <w:tr w14:paraId="56565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192" w:type="dxa"/>
                  <w:vAlign w:val="center"/>
                </w:tcPr>
                <w:p w14:paraId="2A6A7F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color w:val="auto"/>
                      <w:sz w:val="18"/>
                      <w:szCs w:val="18"/>
                    </w:rPr>
                  </w:pPr>
                  <w:r>
                    <w:rPr>
                      <w:rFonts w:hint="default"/>
                      <w:color w:val="auto"/>
                      <w:sz w:val="18"/>
                      <w:szCs w:val="18"/>
                    </w:rPr>
                    <w:t>院区南界</w:t>
                  </w:r>
                </w:p>
              </w:tc>
              <w:tc>
                <w:tcPr>
                  <w:tcW w:w="646" w:type="dxa"/>
                  <w:vAlign w:val="center"/>
                </w:tcPr>
                <w:p w14:paraId="22762A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eastAsia"/>
                      <w:color w:val="auto"/>
                      <w:sz w:val="18"/>
                      <w:szCs w:val="18"/>
                    </w:rPr>
                    <w:t>90</w:t>
                  </w:r>
                </w:p>
              </w:tc>
              <w:tc>
                <w:tcPr>
                  <w:tcW w:w="1371" w:type="dxa"/>
                  <w:vMerge w:val="continue"/>
                  <w:vAlign w:val="center"/>
                </w:tcPr>
                <w:p w14:paraId="690B9AAD">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textAlignment w:val="auto"/>
                    <w:rPr>
                      <w:rFonts w:hint="default" w:cs="Times New Roman"/>
                      <w:color w:val="auto"/>
                      <w:sz w:val="18"/>
                      <w:szCs w:val="18"/>
                    </w:rPr>
                  </w:pPr>
                </w:p>
              </w:tc>
              <w:tc>
                <w:tcPr>
                  <w:tcW w:w="809" w:type="dxa"/>
                  <w:vAlign w:val="center"/>
                </w:tcPr>
                <w:p w14:paraId="33E41F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eastAsia="宋体"/>
                      <w:color w:val="auto"/>
                      <w:sz w:val="18"/>
                      <w:szCs w:val="18"/>
                      <w:lang w:val="en-US" w:eastAsia="zh-CN"/>
                    </w:rPr>
                  </w:pPr>
                  <w:r>
                    <w:rPr>
                      <w:rFonts w:hint="eastAsia"/>
                      <w:color w:val="auto"/>
                      <w:sz w:val="18"/>
                      <w:szCs w:val="18"/>
                      <w:lang w:val="en-US" w:eastAsia="zh-CN"/>
                    </w:rPr>
                    <w:t>70</w:t>
                  </w:r>
                </w:p>
              </w:tc>
              <w:tc>
                <w:tcPr>
                  <w:tcW w:w="808" w:type="dxa"/>
                  <w:vAlign w:val="center"/>
                </w:tcPr>
                <w:p w14:paraId="76B70B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eastAsia"/>
                      <w:color w:val="auto"/>
                      <w:sz w:val="18"/>
                      <w:szCs w:val="18"/>
                      <w:lang w:val="en-US" w:eastAsia="zh-CN"/>
                    </w:rPr>
                    <w:t>24</w:t>
                  </w:r>
                  <w:r>
                    <w:rPr>
                      <w:rFonts w:hint="eastAsia"/>
                      <w:color w:val="auto"/>
                      <w:sz w:val="18"/>
                      <w:szCs w:val="18"/>
                    </w:rPr>
                    <w:t>m</w:t>
                  </w:r>
                </w:p>
              </w:tc>
              <w:tc>
                <w:tcPr>
                  <w:tcW w:w="646" w:type="dxa"/>
                  <w:vAlign w:val="bottom"/>
                </w:tcPr>
                <w:p w14:paraId="10E9D8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lang w:val="en-US" w:eastAsia="zh-CN"/>
                    </w:rPr>
                  </w:pPr>
                  <w:r>
                    <w:rPr>
                      <w:rFonts w:hint="default"/>
                      <w:color w:val="auto"/>
                      <w:sz w:val="18"/>
                      <w:szCs w:val="18"/>
                      <w:lang w:val="en-US" w:eastAsia="zh-CN"/>
                    </w:rPr>
                    <w:t xml:space="preserve">42.4 </w:t>
                  </w:r>
                </w:p>
              </w:tc>
              <w:tc>
                <w:tcPr>
                  <w:tcW w:w="576" w:type="dxa"/>
                  <w:vAlign w:val="center"/>
                </w:tcPr>
                <w:p w14:paraId="58F871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56" w:type="dxa"/>
                  <w:vAlign w:val="center"/>
                </w:tcPr>
                <w:p w14:paraId="72681F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76" w:type="dxa"/>
                  <w:vAlign w:val="center"/>
                </w:tcPr>
                <w:p w14:paraId="0214ED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55" w:type="dxa"/>
                  <w:vAlign w:val="center"/>
                </w:tcPr>
                <w:p w14:paraId="7F5218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r>
            <w:tr w14:paraId="5967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192" w:type="dxa"/>
                  <w:vAlign w:val="center"/>
                </w:tcPr>
                <w:p w14:paraId="7F013E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color w:val="auto"/>
                      <w:sz w:val="18"/>
                      <w:szCs w:val="18"/>
                    </w:rPr>
                  </w:pPr>
                  <w:r>
                    <w:rPr>
                      <w:rFonts w:hint="default"/>
                      <w:color w:val="auto"/>
                      <w:sz w:val="18"/>
                      <w:szCs w:val="18"/>
                    </w:rPr>
                    <w:t>院区西界</w:t>
                  </w:r>
                </w:p>
              </w:tc>
              <w:tc>
                <w:tcPr>
                  <w:tcW w:w="646" w:type="dxa"/>
                  <w:vAlign w:val="center"/>
                </w:tcPr>
                <w:p w14:paraId="6B2F39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eastAsia"/>
                      <w:color w:val="auto"/>
                      <w:sz w:val="18"/>
                      <w:szCs w:val="18"/>
                    </w:rPr>
                    <w:t>90</w:t>
                  </w:r>
                </w:p>
              </w:tc>
              <w:tc>
                <w:tcPr>
                  <w:tcW w:w="1371" w:type="dxa"/>
                  <w:vMerge w:val="continue"/>
                  <w:vAlign w:val="center"/>
                </w:tcPr>
                <w:p w14:paraId="11EDB608">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textAlignment w:val="auto"/>
                    <w:rPr>
                      <w:rFonts w:hint="default" w:cs="Times New Roman"/>
                      <w:color w:val="auto"/>
                      <w:sz w:val="18"/>
                      <w:szCs w:val="18"/>
                    </w:rPr>
                  </w:pPr>
                </w:p>
              </w:tc>
              <w:tc>
                <w:tcPr>
                  <w:tcW w:w="809" w:type="dxa"/>
                  <w:vAlign w:val="center"/>
                </w:tcPr>
                <w:p w14:paraId="58A6A6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eastAsia="宋体"/>
                      <w:color w:val="auto"/>
                      <w:sz w:val="18"/>
                      <w:szCs w:val="18"/>
                      <w:lang w:val="en-US" w:eastAsia="zh-CN"/>
                    </w:rPr>
                  </w:pPr>
                  <w:r>
                    <w:rPr>
                      <w:rFonts w:hint="eastAsia"/>
                      <w:color w:val="auto"/>
                      <w:sz w:val="18"/>
                      <w:szCs w:val="18"/>
                      <w:lang w:val="en-US" w:eastAsia="zh-CN"/>
                    </w:rPr>
                    <w:t>70</w:t>
                  </w:r>
                </w:p>
              </w:tc>
              <w:tc>
                <w:tcPr>
                  <w:tcW w:w="808" w:type="dxa"/>
                  <w:vAlign w:val="center"/>
                </w:tcPr>
                <w:p w14:paraId="24A6CC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eastAsia"/>
                      <w:color w:val="auto"/>
                      <w:sz w:val="18"/>
                      <w:szCs w:val="18"/>
                      <w:lang w:val="en-US" w:eastAsia="zh-CN"/>
                    </w:rPr>
                    <w:t>37</w:t>
                  </w:r>
                  <w:r>
                    <w:rPr>
                      <w:rFonts w:hint="eastAsia"/>
                      <w:color w:val="auto"/>
                      <w:sz w:val="18"/>
                      <w:szCs w:val="18"/>
                    </w:rPr>
                    <w:t>m</w:t>
                  </w:r>
                </w:p>
              </w:tc>
              <w:tc>
                <w:tcPr>
                  <w:tcW w:w="646" w:type="dxa"/>
                  <w:vAlign w:val="bottom"/>
                </w:tcPr>
                <w:p w14:paraId="2A6BFF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lang w:val="en-US" w:eastAsia="zh-CN"/>
                    </w:rPr>
                  </w:pPr>
                  <w:r>
                    <w:rPr>
                      <w:rFonts w:hint="default"/>
                      <w:color w:val="auto"/>
                      <w:sz w:val="18"/>
                      <w:szCs w:val="18"/>
                      <w:lang w:val="en-US" w:eastAsia="zh-CN"/>
                    </w:rPr>
                    <w:t xml:space="preserve">38.6 </w:t>
                  </w:r>
                </w:p>
              </w:tc>
              <w:tc>
                <w:tcPr>
                  <w:tcW w:w="576" w:type="dxa"/>
                  <w:vAlign w:val="center"/>
                </w:tcPr>
                <w:p w14:paraId="400DA0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56" w:type="dxa"/>
                  <w:vAlign w:val="center"/>
                </w:tcPr>
                <w:p w14:paraId="41AE67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76" w:type="dxa"/>
                  <w:vAlign w:val="center"/>
                </w:tcPr>
                <w:p w14:paraId="57EC2E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55" w:type="dxa"/>
                  <w:vAlign w:val="center"/>
                </w:tcPr>
                <w:p w14:paraId="775287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r>
            <w:tr w14:paraId="618E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192" w:type="dxa"/>
                  <w:vAlign w:val="center"/>
                </w:tcPr>
                <w:p w14:paraId="160A94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105" w:leftChars="-50" w:right="-105" w:rightChars="-50"/>
                    <w:jc w:val="center"/>
                    <w:textAlignment w:val="auto"/>
                    <w:rPr>
                      <w:rFonts w:hint="default"/>
                      <w:color w:val="auto"/>
                      <w:sz w:val="18"/>
                      <w:szCs w:val="18"/>
                    </w:rPr>
                  </w:pPr>
                  <w:r>
                    <w:rPr>
                      <w:rFonts w:hint="default"/>
                      <w:color w:val="auto"/>
                      <w:sz w:val="18"/>
                      <w:szCs w:val="18"/>
                    </w:rPr>
                    <w:t>院区北界</w:t>
                  </w:r>
                </w:p>
              </w:tc>
              <w:tc>
                <w:tcPr>
                  <w:tcW w:w="646" w:type="dxa"/>
                  <w:vAlign w:val="center"/>
                </w:tcPr>
                <w:p w14:paraId="1FA85F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eastAsia"/>
                      <w:color w:val="auto"/>
                      <w:sz w:val="18"/>
                      <w:szCs w:val="18"/>
                    </w:rPr>
                    <w:t>90</w:t>
                  </w:r>
                </w:p>
              </w:tc>
              <w:tc>
                <w:tcPr>
                  <w:tcW w:w="1371" w:type="dxa"/>
                  <w:vMerge w:val="continue"/>
                  <w:vAlign w:val="center"/>
                </w:tcPr>
                <w:p w14:paraId="35328F40">
                  <w:pPr>
                    <w:pStyle w:val="36"/>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textAlignment w:val="auto"/>
                    <w:rPr>
                      <w:rFonts w:hint="default" w:cs="Times New Roman"/>
                      <w:color w:val="auto"/>
                      <w:sz w:val="18"/>
                      <w:szCs w:val="18"/>
                    </w:rPr>
                  </w:pPr>
                </w:p>
              </w:tc>
              <w:tc>
                <w:tcPr>
                  <w:tcW w:w="809" w:type="dxa"/>
                  <w:vAlign w:val="center"/>
                </w:tcPr>
                <w:p w14:paraId="28C022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eastAsia="宋体"/>
                      <w:color w:val="auto"/>
                      <w:sz w:val="18"/>
                      <w:szCs w:val="18"/>
                      <w:lang w:val="en-US" w:eastAsia="zh-CN"/>
                    </w:rPr>
                  </w:pPr>
                  <w:r>
                    <w:rPr>
                      <w:rFonts w:hint="eastAsia"/>
                      <w:color w:val="auto"/>
                      <w:sz w:val="18"/>
                      <w:szCs w:val="18"/>
                      <w:lang w:val="en-US" w:eastAsia="zh-CN"/>
                    </w:rPr>
                    <w:t>70</w:t>
                  </w:r>
                </w:p>
              </w:tc>
              <w:tc>
                <w:tcPr>
                  <w:tcW w:w="808" w:type="dxa"/>
                  <w:vAlign w:val="center"/>
                </w:tcPr>
                <w:p w14:paraId="737D18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eastAsia"/>
                      <w:color w:val="auto"/>
                      <w:sz w:val="18"/>
                      <w:szCs w:val="18"/>
                      <w:lang w:val="en-US" w:eastAsia="zh-CN"/>
                    </w:rPr>
                    <w:t>16</w:t>
                  </w:r>
                  <w:r>
                    <w:rPr>
                      <w:rFonts w:hint="eastAsia"/>
                      <w:color w:val="auto"/>
                      <w:sz w:val="18"/>
                      <w:szCs w:val="18"/>
                    </w:rPr>
                    <w:t>m</w:t>
                  </w:r>
                </w:p>
              </w:tc>
              <w:tc>
                <w:tcPr>
                  <w:tcW w:w="646" w:type="dxa"/>
                  <w:vAlign w:val="bottom"/>
                </w:tcPr>
                <w:p w14:paraId="5B5CD2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lang w:val="en-US" w:eastAsia="zh-CN"/>
                    </w:rPr>
                  </w:pPr>
                  <w:r>
                    <w:rPr>
                      <w:rFonts w:hint="default"/>
                      <w:color w:val="auto"/>
                      <w:sz w:val="18"/>
                      <w:szCs w:val="18"/>
                      <w:lang w:val="en-US" w:eastAsia="zh-CN"/>
                    </w:rPr>
                    <w:t xml:space="preserve">45.9 </w:t>
                  </w:r>
                </w:p>
              </w:tc>
              <w:tc>
                <w:tcPr>
                  <w:tcW w:w="576" w:type="dxa"/>
                  <w:vAlign w:val="center"/>
                </w:tcPr>
                <w:p w14:paraId="0E08EB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56" w:type="dxa"/>
                  <w:vAlign w:val="center"/>
                </w:tcPr>
                <w:p w14:paraId="2B2578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76" w:type="dxa"/>
                  <w:vAlign w:val="center"/>
                </w:tcPr>
                <w:p w14:paraId="4FDB80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c>
                <w:tcPr>
                  <w:tcW w:w="555" w:type="dxa"/>
                  <w:vAlign w:val="center"/>
                </w:tcPr>
                <w:p w14:paraId="5F4317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53" w:leftChars="-25" w:right="-53" w:rightChars="-25"/>
                    <w:jc w:val="center"/>
                    <w:textAlignment w:val="auto"/>
                    <w:rPr>
                      <w:rFonts w:hint="default"/>
                      <w:color w:val="auto"/>
                      <w:sz w:val="18"/>
                      <w:szCs w:val="18"/>
                    </w:rPr>
                  </w:pPr>
                  <w:r>
                    <w:rPr>
                      <w:rFonts w:hint="default"/>
                      <w:color w:val="auto"/>
                      <w:sz w:val="18"/>
                      <w:szCs w:val="18"/>
                    </w:rPr>
                    <w:t>/</w:t>
                  </w:r>
                </w:p>
              </w:tc>
            </w:tr>
          </w:tbl>
          <w:p w14:paraId="7A8869E7">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default"/>
                <w:color w:val="auto"/>
                <w:szCs w:val="21"/>
              </w:rPr>
              <w:t>由上表预测结果可知：本项目在通过减振、消声及建筑隔声等措施治理后，设备运行噪声在各场界处均能满足《工业企业厂界环境噪声排放标准》（GB12348-2008）的排放标准</w:t>
            </w:r>
            <w:r>
              <w:rPr>
                <w:rFonts w:hint="eastAsia"/>
                <w:color w:val="auto"/>
                <w:szCs w:val="21"/>
              </w:rPr>
              <w:t>，</w:t>
            </w:r>
            <w:r>
              <w:rPr>
                <w:rFonts w:hint="default"/>
                <w:color w:val="auto"/>
                <w:szCs w:val="21"/>
              </w:rPr>
              <w:t>不改变现有区域声环境功能类别。</w:t>
            </w:r>
          </w:p>
          <w:p w14:paraId="36CCE5FE">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w:t>
            </w:r>
            <w:r>
              <w:rPr>
                <w:rFonts w:hint="eastAsia"/>
                <w:color w:val="auto"/>
                <w:szCs w:val="21"/>
                <w:lang w:val="en-US" w:eastAsia="zh-CN"/>
              </w:rPr>
              <w:t>4</w:t>
            </w:r>
            <w:r>
              <w:rPr>
                <w:rFonts w:hint="eastAsia"/>
                <w:color w:val="auto"/>
                <w:szCs w:val="21"/>
              </w:rPr>
              <w:t>）监测计划</w:t>
            </w:r>
          </w:p>
          <w:p w14:paraId="236DFDF9">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default"/>
                <w:color w:val="auto"/>
                <w:szCs w:val="21"/>
              </w:rPr>
              <w:t>根据《排污单位自行监测技术指南 总则》（HJ8</w:t>
            </w:r>
            <w:r>
              <w:rPr>
                <w:rFonts w:hint="eastAsia"/>
                <w:color w:val="auto"/>
                <w:szCs w:val="21"/>
              </w:rPr>
              <w:t>1</w:t>
            </w:r>
            <w:r>
              <w:rPr>
                <w:rFonts w:hint="default"/>
                <w:color w:val="auto"/>
                <w:szCs w:val="21"/>
              </w:rPr>
              <w:t>9-2017）文件，并结合本项目污染物的特点，制定营运期监测计划见</w:t>
            </w:r>
            <w:r>
              <w:rPr>
                <w:rFonts w:hint="eastAsia"/>
                <w:color w:val="auto"/>
                <w:szCs w:val="21"/>
              </w:rPr>
              <w:t>下表</w:t>
            </w:r>
            <w:r>
              <w:rPr>
                <w:rFonts w:hint="default"/>
                <w:color w:val="auto"/>
                <w:szCs w:val="21"/>
              </w:rPr>
              <w:t>。</w:t>
            </w:r>
          </w:p>
          <w:p w14:paraId="5AC7B3D4">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 xml:space="preserve">4-12  </w:t>
            </w:r>
            <w:r>
              <w:rPr>
                <w:rFonts w:hint="default" w:eastAsia="黑体"/>
                <w:color w:val="auto"/>
                <w:sz w:val="18"/>
                <w:szCs w:val="18"/>
              </w:rPr>
              <w:t xml:space="preserve">   营运期噪声监测计划</w:t>
            </w:r>
          </w:p>
          <w:tbl>
            <w:tblPr>
              <w:tblStyle w:val="13"/>
              <w:tblW w:w="77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1336"/>
              <w:gridCol w:w="1248"/>
              <w:gridCol w:w="2629"/>
              <w:gridCol w:w="1211"/>
            </w:tblGrid>
            <w:tr w14:paraId="31193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14:paraId="1EB9DD69">
                  <w:pPr>
                    <w:keepNext w:val="0"/>
                    <w:keepLines w:val="0"/>
                    <w:suppressLineNumbers w:val="0"/>
                    <w:autoSpaceDE w:val="0"/>
                    <w:autoSpaceDN w:val="0"/>
                    <w:adjustRightInd w:val="0"/>
                    <w:spacing w:before="0" w:beforeAutospacing="0" w:after="0" w:afterAutospacing="0" w:line="420" w:lineRule="exact"/>
                    <w:ind w:left="0" w:right="0"/>
                    <w:jc w:val="center"/>
                    <w:rPr>
                      <w:rFonts w:hint="default"/>
                      <w:b/>
                      <w:color w:val="auto"/>
                      <w:sz w:val="18"/>
                      <w:szCs w:val="18"/>
                    </w:rPr>
                  </w:pPr>
                  <w:r>
                    <w:rPr>
                      <w:rFonts w:hint="default"/>
                      <w:b/>
                      <w:color w:val="auto"/>
                      <w:sz w:val="18"/>
                      <w:szCs w:val="18"/>
                    </w:rPr>
                    <w:t>监测项目</w:t>
                  </w:r>
                </w:p>
              </w:tc>
              <w:tc>
                <w:tcPr>
                  <w:tcW w:w="1336" w:type="dxa"/>
                  <w:tcBorders>
                    <w:top w:val="single" w:color="auto" w:sz="4" w:space="0"/>
                    <w:left w:val="nil"/>
                    <w:bottom w:val="single" w:color="auto" w:sz="4" w:space="0"/>
                    <w:right w:val="single" w:color="auto" w:sz="4" w:space="0"/>
                  </w:tcBorders>
                  <w:vAlign w:val="center"/>
                </w:tcPr>
                <w:p w14:paraId="5A54A07D">
                  <w:pPr>
                    <w:keepNext w:val="0"/>
                    <w:keepLines w:val="0"/>
                    <w:suppressLineNumbers w:val="0"/>
                    <w:autoSpaceDE w:val="0"/>
                    <w:autoSpaceDN w:val="0"/>
                    <w:adjustRightInd w:val="0"/>
                    <w:spacing w:before="0" w:beforeAutospacing="0" w:after="0" w:afterAutospacing="0" w:line="420" w:lineRule="exact"/>
                    <w:ind w:left="0" w:right="0"/>
                    <w:jc w:val="center"/>
                    <w:rPr>
                      <w:rFonts w:hint="default"/>
                      <w:b/>
                      <w:color w:val="auto"/>
                      <w:sz w:val="18"/>
                      <w:szCs w:val="18"/>
                    </w:rPr>
                  </w:pPr>
                  <w:r>
                    <w:rPr>
                      <w:rFonts w:hint="default"/>
                      <w:b/>
                      <w:color w:val="auto"/>
                      <w:sz w:val="18"/>
                      <w:szCs w:val="18"/>
                    </w:rPr>
                    <w:t>监测点位</w:t>
                  </w:r>
                </w:p>
              </w:tc>
              <w:tc>
                <w:tcPr>
                  <w:tcW w:w="1248" w:type="dxa"/>
                  <w:tcBorders>
                    <w:top w:val="single" w:color="auto" w:sz="4" w:space="0"/>
                    <w:left w:val="nil"/>
                    <w:bottom w:val="single" w:color="auto" w:sz="4" w:space="0"/>
                    <w:right w:val="single" w:color="auto" w:sz="4" w:space="0"/>
                  </w:tcBorders>
                  <w:vAlign w:val="center"/>
                </w:tcPr>
                <w:p w14:paraId="6181C719">
                  <w:pPr>
                    <w:keepNext w:val="0"/>
                    <w:keepLines w:val="0"/>
                    <w:suppressLineNumbers w:val="0"/>
                    <w:autoSpaceDE w:val="0"/>
                    <w:autoSpaceDN w:val="0"/>
                    <w:adjustRightInd w:val="0"/>
                    <w:spacing w:before="0" w:beforeAutospacing="0" w:after="0" w:afterAutospacing="0" w:line="420" w:lineRule="exact"/>
                    <w:ind w:left="0" w:right="0"/>
                    <w:jc w:val="center"/>
                    <w:rPr>
                      <w:rFonts w:hint="default"/>
                      <w:b/>
                      <w:color w:val="auto"/>
                      <w:sz w:val="18"/>
                      <w:szCs w:val="18"/>
                    </w:rPr>
                  </w:pPr>
                  <w:r>
                    <w:rPr>
                      <w:rFonts w:hint="default"/>
                      <w:b/>
                      <w:color w:val="auto"/>
                      <w:sz w:val="18"/>
                      <w:szCs w:val="18"/>
                    </w:rPr>
                    <w:t>监测因子</w:t>
                  </w:r>
                </w:p>
              </w:tc>
              <w:tc>
                <w:tcPr>
                  <w:tcW w:w="2629" w:type="dxa"/>
                  <w:tcBorders>
                    <w:top w:val="single" w:color="auto" w:sz="4" w:space="0"/>
                    <w:left w:val="nil"/>
                    <w:bottom w:val="single" w:color="auto" w:sz="4" w:space="0"/>
                    <w:right w:val="single" w:color="auto" w:sz="4" w:space="0"/>
                  </w:tcBorders>
                  <w:vAlign w:val="center"/>
                </w:tcPr>
                <w:p w14:paraId="081DA6E7">
                  <w:pPr>
                    <w:keepNext w:val="0"/>
                    <w:keepLines w:val="0"/>
                    <w:suppressLineNumbers w:val="0"/>
                    <w:autoSpaceDE w:val="0"/>
                    <w:autoSpaceDN w:val="0"/>
                    <w:adjustRightInd w:val="0"/>
                    <w:spacing w:before="0" w:beforeAutospacing="0" w:after="0" w:afterAutospacing="0" w:line="420" w:lineRule="exact"/>
                    <w:ind w:left="0" w:right="0"/>
                    <w:jc w:val="center"/>
                    <w:rPr>
                      <w:rFonts w:hint="default"/>
                      <w:b/>
                      <w:color w:val="auto"/>
                      <w:sz w:val="18"/>
                      <w:szCs w:val="18"/>
                    </w:rPr>
                  </w:pPr>
                  <w:r>
                    <w:rPr>
                      <w:rFonts w:hint="default"/>
                      <w:b/>
                      <w:color w:val="auto"/>
                      <w:sz w:val="18"/>
                      <w:szCs w:val="18"/>
                    </w:rPr>
                    <w:t>监测</w:t>
                  </w:r>
                  <w:r>
                    <w:rPr>
                      <w:rFonts w:hint="eastAsia"/>
                      <w:b/>
                      <w:color w:val="auto"/>
                      <w:sz w:val="18"/>
                      <w:szCs w:val="18"/>
                    </w:rPr>
                    <w:t>频次</w:t>
                  </w:r>
                </w:p>
              </w:tc>
              <w:tc>
                <w:tcPr>
                  <w:tcW w:w="1211" w:type="dxa"/>
                  <w:tcBorders>
                    <w:top w:val="single" w:color="auto" w:sz="4" w:space="0"/>
                    <w:left w:val="nil"/>
                    <w:bottom w:val="single" w:color="auto" w:sz="4" w:space="0"/>
                    <w:right w:val="single" w:color="auto" w:sz="4" w:space="0"/>
                  </w:tcBorders>
                  <w:vAlign w:val="center"/>
                </w:tcPr>
                <w:p w14:paraId="6A7D1491">
                  <w:pPr>
                    <w:keepNext w:val="0"/>
                    <w:keepLines w:val="0"/>
                    <w:suppressLineNumbers w:val="0"/>
                    <w:autoSpaceDE w:val="0"/>
                    <w:autoSpaceDN w:val="0"/>
                    <w:adjustRightInd w:val="0"/>
                    <w:spacing w:before="0" w:beforeAutospacing="0" w:after="0" w:afterAutospacing="0" w:line="420" w:lineRule="exact"/>
                    <w:ind w:left="0" w:right="0"/>
                    <w:jc w:val="center"/>
                    <w:rPr>
                      <w:rFonts w:hint="default"/>
                      <w:b/>
                      <w:color w:val="auto"/>
                      <w:sz w:val="18"/>
                      <w:szCs w:val="18"/>
                    </w:rPr>
                  </w:pPr>
                  <w:r>
                    <w:rPr>
                      <w:rFonts w:hint="default"/>
                      <w:b/>
                      <w:color w:val="auto"/>
                      <w:sz w:val="18"/>
                      <w:szCs w:val="18"/>
                    </w:rPr>
                    <w:t>监测周期</w:t>
                  </w:r>
                </w:p>
              </w:tc>
            </w:tr>
            <w:tr w14:paraId="4C0B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292" w:type="dxa"/>
                  <w:tcBorders>
                    <w:top w:val="single" w:color="auto" w:sz="4" w:space="0"/>
                    <w:left w:val="single" w:color="auto" w:sz="4" w:space="0"/>
                    <w:bottom w:val="single" w:color="auto" w:sz="4" w:space="0"/>
                    <w:right w:val="single" w:color="auto" w:sz="4" w:space="0"/>
                  </w:tcBorders>
                  <w:vAlign w:val="center"/>
                </w:tcPr>
                <w:p w14:paraId="7BC1E6BF">
                  <w:pPr>
                    <w:keepNext w:val="0"/>
                    <w:keepLines w:val="0"/>
                    <w:suppressLineNumbers w:val="0"/>
                    <w:autoSpaceDE w:val="0"/>
                    <w:autoSpaceDN w:val="0"/>
                    <w:adjustRightInd w:val="0"/>
                    <w:spacing w:before="0" w:beforeAutospacing="0" w:after="0" w:afterAutospacing="0" w:line="420" w:lineRule="exact"/>
                    <w:ind w:left="0" w:right="0"/>
                    <w:jc w:val="center"/>
                    <w:rPr>
                      <w:rFonts w:hint="default"/>
                      <w:bCs/>
                      <w:color w:val="auto"/>
                      <w:sz w:val="18"/>
                      <w:szCs w:val="18"/>
                    </w:rPr>
                  </w:pPr>
                  <w:r>
                    <w:rPr>
                      <w:rFonts w:hint="default"/>
                      <w:bCs/>
                      <w:color w:val="auto"/>
                      <w:sz w:val="18"/>
                      <w:szCs w:val="18"/>
                    </w:rPr>
                    <w:t>噪声</w:t>
                  </w:r>
                </w:p>
              </w:tc>
              <w:tc>
                <w:tcPr>
                  <w:tcW w:w="1336" w:type="dxa"/>
                  <w:tcBorders>
                    <w:top w:val="single" w:color="auto" w:sz="4" w:space="0"/>
                    <w:left w:val="nil"/>
                    <w:bottom w:val="single" w:color="auto" w:sz="4" w:space="0"/>
                    <w:right w:val="single" w:color="auto" w:sz="4" w:space="0"/>
                  </w:tcBorders>
                  <w:vAlign w:val="center"/>
                </w:tcPr>
                <w:p w14:paraId="07CCF200">
                  <w:pPr>
                    <w:keepNext w:val="0"/>
                    <w:keepLines w:val="0"/>
                    <w:suppressLineNumbers w:val="0"/>
                    <w:autoSpaceDE w:val="0"/>
                    <w:autoSpaceDN w:val="0"/>
                    <w:adjustRightInd w:val="0"/>
                    <w:spacing w:before="0" w:beforeAutospacing="0" w:after="0" w:afterAutospacing="0" w:line="420" w:lineRule="exact"/>
                    <w:ind w:left="0" w:right="0"/>
                    <w:jc w:val="center"/>
                    <w:rPr>
                      <w:rFonts w:hint="default"/>
                      <w:bCs/>
                      <w:color w:val="auto"/>
                      <w:sz w:val="18"/>
                      <w:szCs w:val="18"/>
                    </w:rPr>
                  </w:pPr>
                  <w:r>
                    <w:rPr>
                      <w:rFonts w:hint="eastAsia"/>
                      <w:bCs/>
                      <w:color w:val="auto"/>
                      <w:sz w:val="18"/>
                      <w:szCs w:val="18"/>
                    </w:rPr>
                    <w:t>场界四周</w:t>
                  </w:r>
                </w:p>
              </w:tc>
              <w:tc>
                <w:tcPr>
                  <w:tcW w:w="1248" w:type="dxa"/>
                  <w:tcBorders>
                    <w:top w:val="single" w:color="auto" w:sz="4" w:space="0"/>
                    <w:left w:val="nil"/>
                    <w:bottom w:val="single" w:color="auto" w:sz="4" w:space="0"/>
                    <w:right w:val="single" w:color="auto" w:sz="4" w:space="0"/>
                  </w:tcBorders>
                  <w:vAlign w:val="center"/>
                </w:tcPr>
                <w:p w14:paraId="66ACCEF2">
                  <w:pPr>
                    <w:keepNext w:val="0"/>
                    <w:keepLines w:val="0"/>
                    <w:suppressLineNumbers w:val="0"/>
                    <w:autoSpaceDE w:val="0"/>
                    <w:autoSpaceDN w:val="0"/>
                    <w:adjustRightInd w:val="0"/>
                    <w:spacing w:before="0" w:beforeAutospacing="0" w:after="0" w:afterAutospacing="0" w:line="420" w:lineRule="exact"/>
                    <w:ind w:left="0" w:right="0"/>
                    <w:jc w:val="center"/>
                    <w:rPr>
                      <w:rFonts w:hint="default"/>
                      <w:bCs/>
                      <w:color w:val="auto"/>
                      <w:sz w:val="18"/>
                      <w:szCs w:val="18"/>
                    </w:rPr>
                  </w:pPr>
                  <w:r>
                    <w:rPr>
                      <w:rFonts w:hint="default"/>
                      <w:color w:val="auto"/>
                      <w:sz w:val="18"/>
                      <w:szCs w:val="18"/>
                    </w:rPr>
                    <w:t>噪声</w:t>
                  </w:r>
                </w:p>
              </w:tc>
              <w:tc>
                <w:tcPr>
                  <w:tcW w:w="2629" w:type="dxa"/>
                  <w:tcBorders>
                    <w:top w:val="single" w:color="auto" w:sz="4" w:space="0"/>
                    <w:left w:val="nil"/>
                    <w:bottom w:val="single" w:color="auto" w:sz="4" w:space="0"/>
                    <w:right w:val="single" w:color="auto" w:sz="4" w:space="0"/>
                  </w:tcBorders>
                  <w:vAlign w:val="center"/>
                </w:tcPr>
                <w:p w14:paraId="272D0292">
                  <w:pPr>
                    <w:keepNext w:val="0"/>
                    <w:keepLines w:val="0"/>
                    <w:suppressLineNumbers w:val="0"/>
                    <w:autoSpaceDE w:val="0"/>
                    <w:autoSpaceDN w:val="0"/>
                    <w:adjustRightInd w:val="0"/>
                    <w:spacing w:before="0" w:beforeAutospacing="0" w:after="0" w:afterAutospacing="0" w:line="420" w:lineRule="exact"/>
                    <w:ind w:left="0" w:right="0"/>
                    <w:jc w:val="center"/>
                    <w:rPr>
                      <w:rFonts w:hint="default"/>
                      <w:bCs/>
                      <w:color w:val="auto"/>
                      <w:sz w:val="18"/>
                      <w:szCs w:val="18"/>
                    </w:rPr>
                  </w:pPr>
                  <w:r>
                    <w:rPr>
                      <w:rFonts w:hint="eastAsia"/>
                      <w:bCs/>
                      <w:color w:val="auto"/>
                      <w:sz w:val="18"/>
                      <w:szCs w:val="18"/>
                    </w:rPr>
                    <w:t>1天（每天昼间1次，夜间1次）</w:t>
                  </w:r>
                </w:p>
              </w:tc>
              <w:tc>
                <w:tcPr>
                  <w:tcW w:w="1211" w:type="dxa"/>
                  <w:tcBorders>
                    <w:top w:val="single" w:color="auto" w:sz="4" w:space="0"/>
                    <w:left w:val="nil"/>
                    <w:bottom w:val="single" w:color="auto" w:sz="4" w:space="0"/>
                    <w:right w:val="single" w:color="auto" w:sz="4" w:space="0"/>
                  </w:tcBorders>
                  <w:vAlign w:val="center"/>
                </w:tcPr>
                <w:p w14:paraId="3803D285">
                  <w:pPr>
                    <w:keepNext w:val="0"/>
                    <w:keepLines w:val="0"/>
                    <w:suppressLineNumbers w:val="0"/>
                    <w:autoSpaceDE w:val="0"/>
                    <w:autoSpaceDN w:val="0"/>
                    <w:adjustRightInd w:val="0"/>
                    <w:spacing w:before="0" w:beforeAutospacing="0" w:after="0" w:afterAutospacing="0" w:line="420" w:lineRule="exact"/>
                    <w:ind w:left="0" w:right="0"/>
                    <w:jc w:val="center"/>
                    <w:rPr>
                      <w:rFonts w:hint="default"/>
                      <w:bCs/>
                      <w:color w:val="auto"/>
                      <w:sz w:val="18"/>
                      <w:szCs w:val="18"/>
                    </w:rPr>
                  </w:pPr>
                  <w:r>
                    <w:rPr>
                      <w:rFonts w:hint="eastAsia"/>
                      <w:bCs/>
                      <w:color w:val="auto"/>
                      <w:sz w:val="18"/>
                      <w:szCs w:val="18"/>
                    </w:rPr>
                    <w:t>每季度1次</w:t>
                  </w:r>
                </w:p>
              </w:tc>
            </w:tr>
          </w:tbl>
          <w:p w14:paraId="262141C0">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（5）外环境对本项目的噪声影响</w:t>
            </w:r>
          </w:p>
          <w:p w14:paraId="6420EBA5">
            <w:pPr>
              <w:keepNext w:val="0"/>
              <w:keepLines w:val="0"/>
              <w:suppressLineNumbers w:val="0"/>
              <w:spacing w:before="0" w:beforeAutospacing="0" w:after="0" w:afterAutospacing="0" w:line="420" w:lineRule="exact"/>
              <w:ind w:left="0" w:right="0" w:firstLine="420" w:firstLineChars="200"/>
              <w:rPr>
                <w:rFonts w:hint="eastAsia"/>
                <w:color w:val="auto"/>
                <w:szCs w:val="21"/>
                <w:lang w:val="en-US" w:eastAsia="zh-CN"/>
              </w:rPr>
            </w:pPr>
            <w:r>
              <w:rPr>
                <w:rFonts w:hint="default"/>
                <w:color w:val="auto"/>
                <w:szCs w:val="21"/>
              </w:rPr>
              <w:t>本项目位于</w:t>
            </w:r>
            <w:r>
              <w:rPr>
                <w:rFonts w:hint="eastAsia"/>
                <w:color w:val="auto"/>
                <w:szCs w:val="21"/>
                <w:lang w:val="en-US" w:eastAsia="zh-CN"/>
              </w:rPr>
              <w:t>通川区罗江镇高石社区</w:t>
            </w:r>
            <w:r>
              <w:rPr>
                <w:rFonts w:hint="eastAsia"/>
                <w:color w:val="auto"/>
                <w:szCs w:val="21"/>
                <w:lang w:eastAsia="zh-CN"/>
              </w:rPr>
              <w:t>。</w:t>
            </w:r>
            <w:r>
              <w:rPr>
                <w:rFonts w:hint="default"/>
                <w:color w:val="auto"/>
                <w:szCs w:val="21"/>
              </w:rPr>
              <w:t>根据环评踏勘，项目</w:t>
            </w:r>
            <w:r>
              <w:rPr>
                <w:rFonts w:hint="eastAsia"/>
                <w:color w:val="auto"/>
                <w:szCs w:val="21"/>
                <w:lang w:val="en-US" w:eastAsia="zh-CN"/>
              </w:rPr>
              <w:t>区位于德源医养中心内，医疗楼与德源医养中心的养老楼相邻。整个医养中心围墙外以</w:t>
            </w:r>
            <w:r>
              <w:rPr>
                <w:rFonts w:hint="default"/>
                <w:color w:val="auto"/>
                <w:szCs w:val="21"/>
              </w:rPr>
              <w:t>居民居住、学校、商业为主的区域</w:t>
            </w:r>
            <w:r>
              <w:rPr>
                <w:rFonts w:hint="eastAsia"/>
                <w:color w:val="auto"/>
                <w:szCs w:val="21"/>
                <w:lang w:eastAsia="zh-CN"/>
              </w:rPr>
              <w:t>，</w:t>
            </w:r>
            <w:r>
              <w:rPr>
                <w:rFonts w:hint="eastAsia"/>
                <w:color w:val="auto"/>
                <w:szCs w:val="21"/>
                <w:lang w:val="en-US" w:eastAsia="zh-CN"/>
              </w:rPr>
              <w:t>没有较大的污染源存在</w:t>
            </w:r>
            <w:r>
              <w:rPr>
                <w:rFonts w:hint="default"/>
                <w:color w:val="auto"/>
                <w:szCs w:val="21"/>
              </w:rPr>
              <w:t>。</w:t>
            </w:r>
            <w:r>
              <w:rPr>
                <w:rFonts w:hint="eastAsia"/>
                <w:color w:val="auto"/>
                <w:szCs w:val="21"/>
                <w:lang w:val="en-US" w:eastAsia="zh-CN"/>
              </w:rPr>
              <w:t>能够为院区患者营造一个良好的就医环境。</w:t>
            </w:r>
          </w:p>
          <w:p w14:paraId="67E8EA15">
            <w:pPr>
              <w:keepNext w:val="0"/>
              <w:keepLines w:val="0"/>
              <w:suppressLineNumbers w:val="0"/>
              <w:spacing w:before="0" w:beforeAutospacing="0" w:after="0" w:afterAutospacing="0" w:line="420" w:lineRule="exact"/>
              <w:ind w:left="0" w:right="0" w:firstLine="420" w:firstLineChars="200"/>
              <w:rPr>
                <w:rFonts w:hint="default"/>
                <w:color w:val="auto"/>
                <w:szCs w:val="21"/>
              </w:rPr>
            </w:pPr>
            <w:r>
              <w:rPr>
                <w:rFonts w:hint="eastAsia"/>
                <w:color w:val="auto"/>
                <w:szCs w:val="21"/>
              </w:rPr>
              <w:t>采取上述措施后，外环境对本项目的影响可以降至最低。</w:t>
            </w:r>
          </w:p>
          <w:p w14:paraId="1C8D7463">
            <w:pPr>
              <w:keepNext w:val="0"/>
              <w:keepLines w:val="0"/>
              <w:suppressLineNumbers w:val="0"/>
              <w:autoSpaceDE w:val="0"/>
              <w:autoSpaceDN w:val="0"/>
              <w:adjustRightInd w:val="0"/>
              <w:snapToGrid w:val="0"/>
              <w:spacing w:before="0" w:beforeAutospacing="0" w:after="0" w:afterAutospacing="0" w:line="420" w:lineRule="exact"/>
              <w:ind w:left="0" w:right="0"/>
              <w:jc w:val="left"/>
              <w:rPr>
                <w:rFonts w:hint="default" w:eastAsia="黑体" w:cs="宋体"/>
                <w:color w:val="auto"/>
                <w:kern w:val="0"/>
                <w:szCs w:val="21"/>
              </w:rPr>
            </w:pPr>
            <w:r>
              <w:rPr>
                <w:rFonts w:hint="eastAsia" w:eastAsia="黑体" w:cs="宋体"/>
                <w:color w:val="auto"/>
                <w:kern w:val="0"/>
                <w:szCs w:val="21"/>
              </w:rPr>
              <w:t>4、固体废物</w:t>
            </w:r>
          </w:p>
          <w:p w14:paraId="20F513E7">
            <w:pPr>
              <w:keepNext w:val="0"/>
              <w:keepLines w:val="0"/>
              <w:suppressLineNumbers w:val="0"/>
              <w:spacing w:before="0" w:beforeAutospacing="0" w:after="0" w:afterAutospacing="0" w:line="420" w:lineRule="exact"/>
              <w:ind w:left="0" w:right="0" w:firstLine="420" w:firstLineChars="200"/>
              <w:rPr>
                <w:rFonts w:hint="default"/>
                <w:color w:val="auto"/>
                <w:szCs w:val="21"/>
              </w:rPr>
            </w:pPr>
            <w:r>
              <w:rPr>
                <w:rFonts w:hint="eastAsia"/>
                <w:color w:val="auto"/>
                <w:szCs w:val="21"/>
              </w:rPr>
              <w:t>（1）产生情况</w:t>
            </w:r>
          </w:p>
          <w:p w14:paraId="50FC402C">
            <w:pPr>
              <w:keepNext w:val="0"/>
              <w:keepLines w:val="0"/>
              <w:suppressLineNumbers w:val="0"/>
              <w:spacing w:before="0" w:beforeAutospacing="0" w:after="0" w:afterAutospacing="0" w:line="420" w:lineRule="exact"/>
              <w:ind w:left="0" w:right="0" w:firstLine="420" w:firstLineChars="200"/>
              <w:rPr>
                <w:rFonts w:hint="default"/>
                <w:color w:val="auto"/>
                <w:szCs w:val="21"/>
              </w:rPr>
            </w:pPr>
            <w:r>
              <w:rPr>
                <w:rFonts w:hint="eastAsia"/>
                <w:color w:val="auto"/>
                <w:szCs w:val="21"/>
              </w:rPr>
              <w:t>本项目固体废物分为一般固废和危险废物。</w:t>
            </w:r>
            <w:r>
              <w:rPr>
                <w:rFonts w:hint="eastAsia"/>
                <w:bCs/>
                <w:color w:val="auto"/>
                <w:lang w:val="zh-CN"/>
              </w:rPr>
              <w:t>一般固废包括一次性输液瓶（袋）、纯水制备产生的废石英砂、废活性炭、废树脂，透析机产生的废过滤膜、废渗透膜，废包装袋及生活垃圾。危险废物主要为各类医疗废物、检验室废液、</w:t>
            </w:r>
            <w:r>
              <w:rPr>
                <w:rFonts w:hint="eastAsia"/>
                <w:bCs/>
                <w:color w:val="auto"/>
                <w:lang w:val="en-US" w:eastAsia="zh-CN"/>
              </w:rPr>
              <w:t>废活性炭、</w:t>
            </w:r>
            <w:r>
              <w:rPr>
                <w:rFonts w:hint="eastAsia"/>
                <w:bCs/>
                <w:color w:val="auto"/>
                <w:lang w:val="zh-CN"/>
              </w:rPr>
              <w:t>污水处理</w:t>
            </w:r>
            <w:r>
              <w:rPr>
                <w:rFonts w:hint="eastAsia"/>
                <w:bCs/>
                <w:color w:val="auto"/>
                <w:lang w:val="en-US" w:eastAsia="zh-CN"/>
              </w:rPr>
              <w:t>站的</w:t>
            </w:r>
            <w:r>
              <w:rPr>
                <w:rFonts w:hint="eastAsia"/>
                <w:bCs/>
                <w:color w:val="auto"/>
                <w:lang w:val="zh-CN"/>
              </w:rPr>
              <w:t>污泥等。</w:t>
            </w:r>
          </w:p>
          <w:p w14:paraId="612A1CC3">
            <w:pPr>
              <w:keepNext w:val="0"/>
              <w:keepLines w:val="0"/>
              <w:suppressLineNumbers w:val="0"/>
              <w:spacing w:before="0" w:beforeAutospacing="0" w:after="0" w:afterAutospacing="0" w:line="420" w:lineRule="exact"/>
              <w:ind w:left="0" w:right="0" w:firstLine="420" w:firstLineChars="200"/>
              <w:rPr>
                <w:rFonts w:hint="default"/>
                <w:color w:val="auto"/>
                <w:szCs w:val="21"/>
              </w:rPr>
            </w:pPr>
            <w:r>
              <w:rPr>
                <w:rFonts w:hint="eastAsia"/>
                <w:color w:val="auto"/>
                <w:szCs w:val="21"/>
              </w:rPr>
              <w:t>①污水站的污泥</w:t>
            </w:r>
          </w:p>
          <w:p w14:paraId="5CF44F05">
            <w:pPr>
              <w:keepNext w:val="0"/>
              <w:keepLines w:val="0"/>
              <w:suppressLineNumbers w:val="0"/>
              <w:spacing w:before="0" w:beforeAutospacing="0" w:after="0" w:afterAutospacing="0" w:line="420" w:lineRule="exact"/>
              <w:ind w:left="0" w:right="0" w:firstLine="420" w:firstLineChars="200"/>
              <w:rPr>
                <w:rFonts w:hint="default"/>
                <w:color w:val="auto"/>
                <w:szCs w:val="21"/>
              </w:rPr>
            </w:pPr>
            <w:r>
              <w:rPr>
                <w:rFonts w:hint="default"/>
                <w:color w:val="auto"/>
                <w:szCs w:val="21"/>
              </w:rPr>
              <w:t>按照《医疗机构水污染物排放标准》（GB18466-2005），医院项目污水处理站的污泥属于危险废物，应按危险废物处理和处置。污泥量依据《医院污水处理技术指南》中混凝沉淀污泥平均产生量70g/人•d计（干重），估算得污泥的产生量约为</w:t>
            </w:r>
            <w:r>
              <w:rPr>
                <w:rFonts w:hint="eastAsia"/>
                <w:color w:val="auto"/>
                <w:szCs w:val="21"/>
              </w:rPr>
              <w:t>2.04</w:t>
            </w:r>
            <w:r>
              <w:rPr>
                <w:rFonts w:hint="default"/>
                <w:color w:val="auto"/>
                <w:szCs w:val="21"/>
              </w:rPr>
              <w:t>t/a（含水率97%）。</w:t>
            </w:r>
          </w:p>
          <w:p w14:paraId="58FE7D45">
            <w:pPr>
              <w:keepNext w:val="0"/>
              <w:keepLines w:val="0"/>
              <w:suppressLineNumbers w:val="0"/>
              <w:spacing w:before="0" w:beforeAutospacing="0" w:after="0" w:afterAutospacing="0" w:line="420" w:lineRule="exact"/>
              <w:ind w:left="0" w:right="0" w:firstLine="420" w:firstLineChars="200"/>
              <w:rPr>
                <w:rFonts w:hint="default"/>
                <w:color w:val="auto"/>
                <w:szCs w:val="21"/>
              </w:rPr>
            </w:pPr>
            <w:r>
              <w:rPr>
                <w:rFonts w:hint="eastAsia"/>
                <w:color w:val="auto"/>
                <w:szCs w:val="21"/>
              </w:rPr>
              <w:t>②医疗废物</w:t>
            </w:r>
          </w:p>
          <w:p w14:paraId="2BDF1F8A">
            <w:pPr>
              <w:keepNext w:val="0"/>
              <w:keepLines w:val="0"/>
              <w:suppressLineNumbers w:val="0"/>
              <w:spacing w:before="0" w:beforeAutospacing="0" w:after="0" w:afterAutospacing="0" w:line="400" w:lineRule="exact"/>
              <w:ind w:left="0" w:right="0" w:firstLine="420" w:firstLineChars="200"/>
              <w:rPr>
                <w:rFonts w:hint="eastAsia"/>
                <w:color w:val="auto"/>
                <w:szCs w:val="21"/>
              </w:rPr>
            </w:pPr>
            <w:r>
              <w:rPr>
                <w:rFonts w:hint="eastAsia"/>
                <w:color w:val="auto"/>
                <w:szCs w:val="21"/>
              </w:rPr>
              <w:t>本项目医疗废物来源于医院在诊治病患活动和检验室检验活动中，产生的具有直接或者间接感染性废物、病理性废物、损伤性废物、药物性废物、化学性废物以及其他危害性的废物。</w:t>
            </w:r>
          </w:p>
          <w:p w14:paraId="2E9389C4">
            <w:pPr>
              <w:keepNext w:val="0"/>
              <w:keepLines w:val="0"/>
              <w:suppressLineNumbers w:val="0"/>
              <w:spacing w:before="0" w:beforeAutospacing="0" w:after="0" w:afterAutospacing="0" w:line="400" w:lineRule="exact"/>
              <w:ind w:left="0" w:right="0" w:firstLine="420" w:firstLineChars="200"/>
              <w:rPr>
                <w:rFonts w:hint="eastAsia"/>
                <w:color w:val="auto"/>
                <w:szCs w:val="21"/>
                <w:lang w:val="en-US" w:eastAsia="zh-CN"/>
              </w:rPr>
            </w:pPr>
            <w:r>
              <w:rPr>
                <w:rFonts w:hint="eastAsia"/>
                <w:bCs/>
                <w:color w:val="auto"/>
                <w:lang w:val="en-US" w:eastAsia="zh-CN"/>
              </w:rPr>
              <w:t>血透中心的医疗废弃物多为感染性废弃物、损伤性废弃物。感染性废弃物如被病人血液及其体液分泌物污染的物品；如棉球、棉签、纱布及其他敷料、一次性治疗巾、手套等。损伤性废弃物多为一次性预充注射器、针头、一次性穿刺针、深静脉穿刺导管、一次性使用过的刀片、导丝等。</w:t>
            </w:r>
          </w:p>
          <w:p w14:paraId="77553CA3">
            <w:pPr>
              <w:keepNext w:val="0"/>
              <w:keepLines w:val="0"/>
              <w:suppressLineNumbers w:val="0"/>
              <w:spacing w:before="0" w:beforeAutospacing="0" w:after="0" w:afterAutospacing="0" w:line="420" w:lineRule="exact"/>
              <w:ind w:left="0" w:right="0" w:firstLine="420" w:firstLineChars="200"/>
              <w:rPr>
                <w:rFonts w:hint="default"/>
                <w:color w:val="auto"/>
                <w:szCs w:val="21"/>
              </w:rPr>
            </w:pPr>
            <w:r>
              <w:rPr>
                <w:rFonts w:hint="eastAsia"/>
                <w:color w:val="auto"/>
                <w:szCs w:val="21"/>
              </w:rPr>
              <w:t>根据《国家危险废物名录（2021年版）》，医院临床废物、医药废物、废药物和废药品、检验室的含废弃化学品、沾染化学品的报废实验工器具等均算是医疗废物，均属于危险废物（废物类别HW01，废物代码851-001-01~851-005-01）。</w:t>
            </w:r>
          </w:p>
          <w:p w14:paraId="006CBEEA">
            <w:pPr>
              <w:keepNext w:val="0"/>
              <w:keepLines w:val="0"/>
              <w:suppressLineNumbers w:val="0"/>
              <w:spacing w:before="0" w:beforeAutospacing="0" w:after="0" w:afterAutospacing="0" w:line="420" w:lineRule="exact"/>
              <w:ind w:left="0" w:right="0" w:firstLine="420" w:firstLineChars="200"/>
              <w:rPr>
                <w:rFonts w:hint="default"/>
                <w:color w:val="auto"/>
                <w:szCs w:val="21"/>
              </w:rPr>
            </w:pPr>
            <w:r>
              <w:rPr>
                <w:rFonts w:hint="eastAsia"/>
                <w:color w:val="auto"/>
                <w:szCs w:val="21"/>
              </w:rPr>
              <w:t>一般医院产生的医疗废物分类见下表。</w:t>
            </w:r>
          </w:p>
          <w:p w14:paraId="073F0779">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eastAsia" w:eastAsia="黑体"/>
                <w:color w:val="auto"/>
                <w:sz w:val="18"/>
                <w:szCs w:val="18"/>
              </w:rPr>
              <w:t xml:space="preserve">表4-13 </w:t>
            </w:r>
            <w:r>
              <w:rPr>
                <w:rFonts w:hint="default" w:eastAsia="黑体"/>
                <w:color w:val="auto"/>
                <w:sz w:val="18"/>
                <w:szCs w:val="18"/>
              </w:rPr>
              <w:t xml:space="preserve">   </w:t>
            </w:r>
            <w:r>
              <w:rPr>
                <w:rFonts w:hint="eastAsia" w:eastAsia="黑体"/>
                <w:color w:val="auto"/>
                <w:sz w:val="18"/>
                <w:szCs w:val="18"/>
              </w:rPr>
              <w:t>医疗废物分类目录</w:t>
            </w:r>
          </w:p>
          <w:tbl>
            <w:tblPr>
              <w:tblStyle w:val="1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442"/>
              <w:gridCol w:w="5583"/>
            </w:tblGrid>
            <w:tr w14:paraId="616E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14:paraId="49B65A43">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类别</w:t>
                  </w:r>
                </w:p>
              </w:tc>
              <w:tc>
                <w:tcPr>
                  <w:tcW w:w="1442" w:type="dxa"/>
                  <w:tcBorders>
                    <w:top w:val="single" w:color="auto" w:sz="4" w:space="0"/>
                    <w:left w:val="single" w:color="auto" w:sz="4" w:space="0"/>
                    <w:bottom w:val="single" w:color="auto" w:sz="4" w:space="0"/>
                    <w:right w:val="single" w:color="auto" w:sz="4" w:space="0"/>
                  </w:tcBorders>
                  <w:vAlign w:val="center"/>
                </w:tcPr>
                <w:p w14:paraId="10B24A9F">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特征</w:t>
                  </w:r>
                </w:p>
              </w:tc>
              <w:tc>
                <w:tcPr>
                  <w:tcW w:w="5583" w:type="dxa"/>
                  <w:tcBorders>
                    <w:top w:val="single" w:color="auto" w:sz="4" w:space="0"/>
                    <w:left w:val="single" w:color="auto" w:sz="4" w:space="0"/>
                    <w:bottom w:val="single" w:color="auto" w:sz="4" w:space="0"/>
                    <w:right w:val="single" w:color="auto" w:sz="4" w:space="0"/>
                  </w:tcBorders>
                  <w:vAlign w:val="center"/>
                </w:tcPr>
                <w:p w14:paraId="3177D80C">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常见组分或者废物名称</w:t>
                  </w:r>
                </w:p>
              </w:tc>
            </w:tr>
            <w:tr w14:paraId="61BE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84" w:type="dxa"/>
                  <w:vMerge w:val="restart"/>
                  <w:tcBorders>
                    <w:top w:val="single" w:color="auto" w:sz="4" w:space="0"/>
                    <w:left w:val="single" w:color="auto" w:sz="4" w:space="0"/>
                    <w:bottom w:val="single" w:color="auto" w:sz="4" w:space="0"/>
                    <w:right w:val="single" w:color="auto" w:sz="4" w:space="0"/>
                  </w:tcBorders>
                  <w:vAlign w:val="center"/>
                </w:tcPr>
                <w:p w14:paraId="589E497D">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感染性</w:t>
                  </w:r>
                </w:p>
                <w:p w14:paraId="032DC87A">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废物</w:t>
                  </w:r>
                </w:p>
              </w:tc>
              <w:tc>
                <w:tcPr>
                  <w:tcW w:w="1442" w:type="dxa"/>
                  <w:vMerge w:val="restart"/>
                  <w:tcBorders>
                    <w:top w:val="single" w:color="auto" w:sz="4" w:space="0"/>
                    <w:left w:val="single" w:color="auto" w:sz="4" w:space="0"/>
                    <w:bottom w:val="single" w:color="auto" w:sz="4" w:space="0"/>
                    <w:right w:val="single" w:color="auto" w:sz="4" w:space="0"/>
                  </w:tcBorders>
                  <w:vAlign w:val="center"/>
                </w:tcPr>
                <w:p w14:paraId="16FAF6E5">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携带病原微生物具有引发感染性疾病传播危险的医疗废物。</w:t>
                  </w:r>
                </w:p>
              </w:tc>
              <w:tc>
                <w:tcPr>
                  <w:tcW w:w="5583" w:type="dxa"/>
                  <w:tcBorders>
                    <w:top w:val="single" w:color="auto" w:sz="4" w:space="0"/>
                    <w:left w:val="single" w:color="auto" w:sz="4" w:space="0"/>
                    <w:bottom w:val="single" w:color="auto" w:sz="4" w:space="0"/>
                    <w:right w:val="single" w:color="auto" w:sz="4" w:space="0"/>
                  </w:tcBorders>
                  <w:vAlign w:val="center"/>
                </w:tcPr>
                <w:p w14:paraId="4E51567B">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0" w:leftChars="0" w:right="0"/>
                    <w:textAlignment w:val="auto"/>
                    <w:rPr>
                      <w:rFonts w:hint="default"/>
                      <w:color w:val="auto"/>
                      <w:sz w:val="15"/>
                      <w:szCs w:val="15"/>
                    </w:rPr>
                  </w:pPr>
                  <w:r>
                    <w:rPr>
                      <w:rFonts w:hint="default"/>
                      <w:color w:val="auto"/>
                      <w:sz w:val="15"/>
                      <w:szCs w:val="15"/>
                    </w:rPr>
                    <w:t>1、被病人血液、体液、排泄物污染的物品，包括：棉球、棉签、引流棉条，纱布及其他各种敷料；一次性使用卫生用品，一次性使用医疗用品及一次性医疗器械；废弃的被服；其他被病人血液、体液、排泄物污染的物品。</w:t>
                  </w:r>
                </w:p>
              </w:tc>
            </w:tr>
            <w:tr w14:paraId="3DCF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14:paraId="72B6E68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14:paraId="30F80176">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vAlign w:val="center"/>
                </w:tcPr>
                <w:p w14:paraId="072A917E">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0" w:leftChars="0" w:right="0"/>
                    <w:textAlignment w:val="auto"/>
                    <w:rPr>
                      <w:rFonts w:hint="default"/>
                      <w:color w:val="auto"/>
                      <w:sz w:val="15"/>
                      <w:szCs w:val="15"/>
                    </w:rPr>
                  </w:pPr>
                  <w:r>
                    <w:rPr>
                      <w:rFonts w:hint="default"/>
                      <w:color w:val="auto"/>
                      <w:sz w:val="15"/>
                      <w:szCs w:val="15"/>
                    </w:rPr>
                    <w:t>2、病原体的培养基、标本和菌种、毒种保存液。</w:t>
                  </w:r>
                </w:p>
              </w:tc>
            </w:tr>
            <w:tr w14:paraId="52CE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14:paraId="65DA5FC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14:paraId="309CE204">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vAlign w:val="center"/>
                </w:tcPr>
                <w:p w14:paraId="1B8B7E57">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0" w:leftChars="0" w:right="0"/>
                    <w:textAlignment w:val="auto"/>
                    <w:rPr>
                      <w:rFonts w:hint="default"/>
                      <w:color w:val="auto"/>
                      <w:sz w:val="15"/>
                      <w:szCs w:val="15"/>
                    </w:rPr>
                  </w:pPr>
                  <w:r>
                    <w:rPr>
                      <w:rFonts w:hint="default"/>
                      <w:color w:val="auto"/>
                      <w:sz w:val="15"/>
                      <w:szCs w:val="15"/>
                    </w:rPr>
                    <w:t>3、各种废弃的医学标本；废弃的血液、血清。</w:t>
                  </w:r>
                </w:p>
              </w:tc>
            </w:tr>
            <w:tr w14:paraId="2492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14:paraId="4235CAB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14:paraId="7843A755">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vAlign w:val="center"/>
                </w:tcPr>
                <w:p w14:paraId="2C8B3626">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0" w:leftChars="0" w:right="0"/>
                    <w:textAlignment w:val="auto"/>
                    <w:rPr>
                      <w:rFonts w:hint="default"/>
                      <w:color w:val="auto"/>
                      <w:sz w:val="15"/>
                      <w:szCs w:val="15"/>
                    </w:rPr>
                  </w:pPr>
                  <w:r>
                    <w:rPr>
                      <w:rFonts w:hint="default"/>
                      <w:color w:val="auto"/>
                      <w:sz w:val="15"/>
                      <w:szCs w:val="15"/>
                    </w:rPr>
                    <w:t>4、使用后的一次性使用医疗用品及一次性医疗器械视为感染性废物。</w:t>
                  </w:r>
                </w:p>
              </w:tc>
            </w:tr>
            <w:tr w14:paraId="5806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14:paraId="10FC06D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14:paraId="0E6D151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vAlign w:val="center"/>
                </w:tcPr>
                <w:p w14:paraId="41793342">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0" w:leftChars="0" w:right="0"/>
                    <w:textAlignment w:val="auto"/>
                    <w:rPr>
                      <w:rFonts w:hint="default"/>
                      <w:color w:val="auto"/>
                      <w:sz w:val="15"/>
                      <w:szCs w:val="15"/>
                    </w:rPr>
                  </w:pPr>
                  <w:r>
                    <w:rPr>
                      <w:rFonts w:hint="default"/>
                      <w:color w:val="auto"/>
                      <w:sz w:val="15"/>
                      <w:szCs w:val="15"/>
                    </w:rPr>
                    <w:t>5、病人经负压排出脓血、痰等废物。</w:t>
                  </w:r>
                </w:p>
              </w:tc>
            </w:tr>
            <w:tr w14:paraId="4556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784" w:type="dxa"/>
                  <w:vMerge w:val="restart"/>
                  <w:tcBorders>
                    <w:top w:val="single" w:color="auto" w:sz="4" w:space="0"/>
                    <w:left w:val="single" w:color="auto" w:sz="4" w:space="0"/>
                    <w:bottom w:val="single" w:color="auto" w:sz="4" w:space="0"/>
                    <w:right w:val="single" w:color="auto" w:sz="4" w:space="0"/>
                  </w:tcBorders>
                  <w:vAlign w:val="center"/>
                </w:tcPr>
                <w:p w14:paraId="751DEAF9">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病理性</w:t>
                  </w:r>
                </w:p>
                <w:p w14:paraId="48B62E98">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废物</w:t>
                  </w:r>
                </w:p>
              </w:tc>
              <w:tc>
                <w:tcPr>
                  <w:tcW w:w="1442" w:type="dxa"/>
                  <w:vMerge w:val="restart"/>
                  <w:tcBorders>
                    <w:top w:val="single" w:color="auto" w:sz="4" w:space="0"/>
                    <w:left w:val="single" w:color="auto" w:sz="4" w:space="0"/>
                    <w:bottom w:val="single" w:color="auto" w:sz="4" w:space="0"/>
                    <w:right w:val="single" w:color="auto" w:sz="4" w:space="0"/>
                  </w:tcBorders>
                  <w:vAlign w:val="center"/>
                </w:tcPr>
                <w:p w14:paraId="3D0D4C97">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诊疗过程中产生的人体废弃物和医学实验动物尸体等</w:t>
                  </w:r>
                </w:p>
              </w:tc>
              <w:tc>
                <w:tcPr>
                  <w:tcW w:w="5583" w:type="dxa"/>
                  <w:tcBorders>
                    <w:top w:val="single" w:color="auto" w:sz="4" w:space="0"/>
                    <w:left w:val="single" w:color="auto" w:sz="4" w:space="0"/>
                    <w:bottom w:val="single" w:color="auto" w:sz="4" w:space="0"/>
                    <w:right w:val="single" w:color="auto" w:sz="4" w:space="0"/>
                  </w:tcBorders>
                </w:tcPr>
                <w:p w14:paraId="5F111904">
                  <w:pPr>
                    <w:keepNext w:val="0"/>
                    <w:keepLines w:val="0"/>
                    <w:pageBreakBefore w:val="0"/>
                    <w:suppressLineNumbers w:val="0"/>
                    <w:kinsoku/>
                    <w:wordWrap/>
                    <w:overflowPunct/>
                    <w:topLinePunct w:val="0"/>
                    <w:autoSpaceDE/>
                    <w:autoSpaceDN/>
                    <w:bidi w:val="0"/>
                    <w:adjustRightInd/>
                    <w:spacing w:before="0" w:beforeAutospacing="0" w:after="0" w:afterAutospacing="0" w:line="290" w:lineRule="exact"/>
                    <w:ind w:left="0" w:right="0"/>
                    <w:textAlignment w:val="auto"/>
                    <w:rPr>
                      <w:rFonts w:hint="default"/>
                      <w:color w:val="auto"/>
                      <w:sz w:val="15"/>
                      <w:szCs w:val="15"/>
                    </w:rPr>
                  </w:pPr>
                  <w:r>
                    <w:rPr>
                      <w:rFonts w:hint="default"/>
                      <w:color w:val="auto"/>
                      <w:sz w:val="15"/>
                      <w:szCs w:val="15"/>
                    </w:rPr>
                    <w:t>1、手术及其他诊疗过程中产生的废弃的人体组织、器官等。</w:t>
                  </w:r>
                </w:p>
              </w:tc>
            </w:tr>
            <w:tr w14:paraId="44A2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14:paraId="34320064">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14:paraId="5AC4143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tcPr>
                <w:p w14:paraId="09EBA5B7">
                  <w:pPr>
                    <w:keepNext w:val="0"/>
                    <w:keepLines w:val="0"/>
                    <w:pageBreakBefore w:val="0"/>
                    <w:suppressLineNumbers w:val="0"/>
                    <w:kinsoku/>
                    <w:wordWrap/>
                    <w:overflowPunct/>
                    <w:topLinePunct w:val="0"/>
                    <w:autoSpaceDE/>
                    <w:autoSpaceDN/>
                    <w:bidi w:val="0"/>
                    <w:adjustRightInd/>
                    <w:spacing w:before="0" w:beforeAutospacing="0" w:after="0" w:afterAutospacing="0" w:line="290" w:lineRule="exact"/>
                    <w:ind w:left="0" w:right="0"/>
                    <w:textAlignment w:val="auto"/>
                    <w:rPr>
                      <w:rFonts w:hint="default"/>
                      <w:color w:val="auto"/>
                      <w:sz w:val="15"/>
                      <w:szCs w:val="15"/>
                    </w:rPr>
                  </w:pPr>
                  <w:r>
                    <w:rPr>
                      <w:rFonts w:hint="default"/>
                      <w:color w:val="auto"/>
                      <w:sz w:val="15"/>
                      <w:szCs w:val="15"/>
                    </w:rPr>
                    <w:t>2、医学实验动物的组织、尸体。</w:t>
                  </w:r>
                </w:p>
              </w:tc>
            </w:tr>
            <w:tr w14:paraId="17EF0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14:paraId="17AD56EA">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14:paraId="0E7FD613">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tcPr>
                <w:p w14:paraId="2D07DD51">
                  <w:pPr>
                    <w:keepNext w:val="0"/>
                    <w:keepLines w:val="0"/>
                    <w:pageBreakBefore w:val="0"/>
                    <w:suppressLineNumbers w:val="0"/>
                    <w:kinsoku/>
                    <w:wordWrap/>
                    <w:overflowPunct/>
                    <w:topLinePunct w:val="0"/>
                    <w:autoSpaceDE/>
                    <w:autoSpaceDN/>
                    <w:bidi w:val="0"/>
                    <w:adjustRightInd/>
                    <w:spacing w:before="0" w:beforeAutospacing="0" w:after="0" w:afterAutospacing="0" w:line="290" w:lineRule="exact"/>
                    <w:ind w:left="0" w:right="0"/>
                    <w:textAlignment w:val="auto"/>
                    <w:rPr>
                      <w:rFonts w:hint="default"/>
                      <w:color w:val="auto"/>
                      <w:sz w:val="15"/>
                      <w:szCs w:val="15"/>
                    </w:rPr>
                  </w:pPr>
                  <w:r>
                    <w:rPr>
                      <w:rFonts w:hint="default"/>
                      <w:color w:val="auto"/>
                      <w:sz w:val="15"/>
                      <w:szCs w:val="15"/>
                    </w:rPr>
                    <w:t>3、病理切片后废弃的人体组织、病理蜡块等。</w:t>
                  </w:r>
                </w:p>
              </w:tc>
            </w:tr>
            <w:tr w14:paraId="4316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84" w:type="dxa"/>
                  <w:vMerge w:val="restart"/>
                  <w:tcBorders>
                    <w:top w:val="single" w:color="auto" w:sz="4" w:space="0"/>
                    <w:left w:val="single" w:color="auto" w:sz="4" w:space="0"/>
                    <w:bottom w:val="single" w:color="auto" w:sz="4" w:space="0"/>
                    <w:right w:val="single" w:color="auto" w:sz="4" w:space="0"/>
                  </w:tcBorders>
                  <w:vAlign w:val="center"/>
                </w:tcPr>
                <w:p w14:paraId="5756B57B">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伤性</w:t>
                  </w:r>
                </w:p>
                <w:p w14:paraId="1CC1F082">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废物</w:t>
                  </w:r>
                </w:p>
              </w:tc>
              <w:tc>
                <w:tcPr>
                  <w:tcW w:w="1442" w:type="dxa"/>
                  <w:vMerge w:val="restart"/>
                  <w:tcBorders>
                    <w:top w:val="single" w:color="auto" w:sz="4" w:space="0"/>
                    <w:left w:val="single" w:color="auto" w:sz="4" w:space="0"/>
                    <w:bottom w:val="single" w:color="auto" w:sz="4" w:space="0"/>
                    <w:right w:val="single" w:color="auto" w:sz="4" w:space="0"/>
                  </w:tcBorders>
                  <w:vAlign w:val="center"/>
                </w:tcPr>
                <w:p w14:paraId="3D680CE4">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能够刺伤或者割伤人体的废弃的医用锐器</w:t>
                  </w:r>
                </w:p>
              </w:tc>
              <w:tc>
                <w:tcPr>
                  <w:tcW w:w="5583" w:type="dxa"/>
                  <w:tcBorders>
                    <w:top w:val="single" w:color="auto" w:sz="4" w:space="0"/>
                    <w:left w:val="single" w:color="auto" w:sz="4" w:space="0"/>
                    <w:bottom w:val="single" w:color="auto" w:sz="4" w:space="0"/>
                    <w:right w:val="single" w:color="auto" w:sz="4" w:space="0"/>
                  </w:tcBorders>
                  <w:vAlign w:val="center"/>
                </w:tcPr>
                <w:p w14:paraId="0B05FC54">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0" w:leftChars="0" w:right="0"/>
                    <w:textAlignment w:val="auto"/>
                    <w:rPr>
                      <w:rFonts w:hint="default"/>
                      <w:color w:val="auto"/>
                      <w:sz w:val="15"/>
                      <w:szCs w:val="15"/>
                    </w:rPr>
                  </w:pPr>
                  <w:r>
                    <w:rPr>
                      <w:rFonts w:hint="default"/>
                      <w:color w:val="auto"/>
                      <w:sz w:val="15"/>
                      <w:szCs w:val="15"/>
                    </w:rPr>
                    <w:t>1、医用针头、缝合针。</w:t>
                  </w:r>
                </w:p>
              </w:tc>
            </w:tr>
            <w:tr w14:paraId="07DEC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14:paraId="20AB4F26">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14:paraId="15917DAC">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vAlign w:val="center"/>
                </w:tcPr>
                <w:p w14:paraId="5FA5D1AD">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0" w:leftChars="0" w:right="0"/>
                    <w:textAlignment w:val="auto"/>
                    <w:rPr>
                      <w:rFonts w:hint="default"/>
                      <w:color w:val="auto"/>
                      <w:sz w:val="15"/>
                      <w:szCs w:val="15"/>
                    </w:rPr>
                  </w:pPr>
                  <w:r>
                    <w:rPr>
                      <w:rFonts w:hint="default"/>
                      <w:color w:val="auto"/>
                      <w:sz w:val="15"/>
                      <w:szCs w:val="15"/>
                      <w:shd w:val="clear" w:color="auto" w:fill="FFFFFF"/>
                    </w:rPr>
                    <w:t>2、各类医用锐器，包括：解剖刀、手术刀、备皮刀、手术锯等。</w:t>
                  </w:r>
                </w:p>
              </w:tc>
            </w:tr>
            <w:tr w14:paraId="1E26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14:paraId="5B90843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14:paraId="3FF197A3">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vAlign w:val="center"/>
                </w:tcPr>
                <w:p w14:paraId="668FB6C4">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0" w:leftChars="0" w:right="0"/>
                    <w:textAlignment w:val="auto"/>
                    <w:rPr>
                      <w:rFonts w:hint="default"/>
                      <w:color w:val="auto"/>
                      <w:sz w:val="15"/>
                      <w:szCs w:val="15"/>
                    </w:rPr>
                  </w:pPr>
                  <w:r>
                    <w:rPr>
                      <w:rFonts w:hint="default"/>
                      <w:color w:val="auto"/>
                      <w:sz w:val="15"/>
                      <w:szCs w:val="15"/>
                    </w:rPr>
                    <w:t>3、载玻片、玻璃试管、玻璃安瓿等。</w:t>
                  </w:r>
                </w:p>
              </w:tc>
            </w:tr>
            <w:tr w14:paraId="4D235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84" w:type="dxa"/>
                  <w:vMerge w:val="restart"/>
                  <w:tcBorders>
                    <w:top w:val="single" w:color="auto" w:sz="4" w:space="0"/>
                    <w:left w:val="single" w:color="auto" w:sz="4" w:space="0"/>
                    <w:bottom w:val="single" w:color="auto" w:sz="4" w:space="0"/>
                    <w:right w:val="single" w:color="auto" w:sz="4" w:space="0"/>
                  </w:tcBorders>
                  <w:vAlign w:val="center"/>
                </w:tcPr>
                <w:p w14:paraId="7DC1C6C4">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药物性</w:t>
                  </w:r>
                </w:p>
                <w:p w14:paraId="4822673C">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废物</w:t>
                  </w:r>
                </w:p>
              </w:tc>
              <w:tc>
                <w:tcPr>
                  <w:tcW w:w="1442" w:type="dxa"/>
                  <w:vMerge w:val="restart"/>
                  <w:tcBorders>
                    <w:top w:val="single" w:color="auto" w:sz="4" w:space="0"/>
                    <w:left w:val="single" w:color="auto" w:sz="4" w:space="0"/>
                    <w:bottom w:val="single" w:color="auto" w:sz="4" w:space="0"/>
                    <w:right w:val="single" w:color="auto" w:sz="4" w:space="0"/>
                  </w:tcBorders>
                  <w:vAlign w:val="center"/>
                </w:tcPr>
                <w:p w14:paraId="1BDB3C7C">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过期、淘汰、变质或者被污染的废弃的药品。</w:t>
                  </w:r>
                </w:p>
              </w:tc>
              <w:tc>
                <w:tcPr>
                  <w:tcW w:w="5583" w:type="dxa"/>
                  <w:tcBorders>
                    <w:top w:val="single" w:color="auto" w:sz="4" w:space="0"/>
                    <w:left w:val="single" w:color="auto" w:sz="4" w:space="0"/>
                    <w:bottom w:val="single" w:color="auto" w:sz="4" w:space="0"/>
                    <w:right w:val="single" w:color="auto" w:sz="4" w:space="0"/>
                  </w:tcBorders>
                  <w:vAlign w:val="center"/>
                </w:tcPr>
                <w:p w14:paraId="5A58833B">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0" w:leftChars="0" w:right="0"/>
                    <w:textAlignment w:val="auto"/>
                    <w:rPr>
                      <w:rFonts w:hint="default"/>
                      <w:color w:val="auto"/>
                      <w:sz w:val="15"/>
                      <w:szCs w:val="15"/>
                    </w:rPr>
                  </w:pPr>
                  <w:r>
                    <w:rPr>
                      <w:rFonts w:hint="default"/>
                      <w:color w:val="auto"/>
                      <w:sz w:val="15"/>
                      <w:szCs w:val="15"/>
                    </w:rPr>
                    <w:t>1、废弃的一般性药品，如：抗生素、非处方类药品等。</w:t>
                  </w:r>
                </w:p>
              </w:tc>
            </w:tr>
            <w:tr w14:paraId="2F59F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14:paraId="54008E2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14:paraId="35F5500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vAlign w:val="center"/>
                </w:tcPr>
                <w:p w14:paraId="245DEFA0">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0" w:leftChars="0" w:right="0"/>
                    <w:textAlignment w:val="auto"/>
                    <w:rPr>
                      <w:rFonts w:hint="default"/>
                      <w:color w:val="auto"/>
                      <w:sz w:val="15"/>
                      <w:szCs w:val="15"/>
                    </w:rPr>
                  </w:pPr>
                  <w:r>
                    <w:rPr>
                      <w:rFonts w:hint="default"/>
                      <w:color w:val="auto"/>
                      <w:sz w:val="15"/>
                      <w:szCs w:val="15"/>
                    </w:rPr>
                    <w:t>2、废弃的细胞毒性药物和遗传毒性药物，包括：致癌性药物，如硫唑嘌呤、苯丁酸氮芥、萘氮芥、环孢霉素、环磷酰胺、苯丙胺酸氮芥、司莫司汀、三苯氧氨、硫替派等；可疑致癌性药物，如：顺铂、丝裂霉素、阿霉素、苯巴比妥等；免疫抑制剂。</w:t>
                  </w:r>
                </w:p>
              </w:tc>
            </w:tr>
            <w:tr w14:paraId="743E1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14:paraId="5B0951B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14:paraId="50B3B96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vAlign w:val="center"/>
                </w:tcPr>
                <w:p w14:paraId="2A38F04E">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0" w:leftChars="0" w:right="0"/>
                    <w:textAlignment w:val="auto"/>
                    <w:rPr>
                      <w:rFonts w:hint="default"/>
                      <w:color w:val="auto"/>
                      <w:sz w:val="15"/>
                      <w:szCs w:val="15"/>
                    </w:rPr>
                  </w:pPr>
                  <w:r>
                    <w:rPr>
                      <w:rFonts w:hint="default"/>
                      <w:color w:val="auto"/>
                      <w:sz w:val="15"/>
                      <w:szCs w:val="15"/>
                    </w:rPr>
                    <w:t>3、废弃的疫苗、血液制品等。</w:t>
                  </w:r>
                </w:p>
              </w:tc>
            </w:tr>
            <w:tr w14:paraId="3F1E2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 w:hRule="atLeast"/>
                <w:jc w:val="center"/>
              </w:trPr>
              <w:tc>
                <w:tcPr>
                  <w:tcW w:w="784" w:type="dxa"/>
                  <w:vMerge w:val="restart"/>
                  <w:tcBorders>
                    <w:top w:val="single" w:color="auto" w:sz="4" w:space="0"/>
                    <w:left w:val="single" w:color="auto" w:sz="4" w:space="0"/>
                    <w:bottom w:val="single" w:color="auto" w:sz="4" w:space="0"/>
                    <w:right w:val="single" w:color="auto" w:sz="4" w:space="0"/>
                  </w:tcBorders>
                  <w:vAlign w:val="center"/>
                </w:tcPr>
                <w:p w14:paraId="02F563E1">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化学性</w:t>
                  </w:r>
                </w:p>
                <w:p w14:paraId="51DFBD0C">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废物</w:t>
                  </w:r>
                </w:p>
              </w:tc>
              <w:tc>
                <w:tcPr>
                  <w:tcW w:w="1442" w:type="dxa"/>
                  <w:vMerge w:val="restart"/>
                  <w:tcBorders>
                    <w:top w:val="single" w:color="auto" w:sz="4" w:space="0"/>
                    <w:left w:val="single" w:color="auto" w:sz="4" w:space="0"/>
                    <w:bottom w:val="single" w:color="auto" w:sz="4" w:space="0"/>
                    <w:right w:val="single" w:color="auto" w:sz="4" w:space="0"/>
                  </w:tcBorders>
                  <w:vAlign w:val="center"/>
                </w:tcPr>
                <w:p w14:paraId="07900B4A">
                  <w:pPr>
                    <w:pStyle w:val="37"/>
                    <w:keepNext w:val="0"/>
                    <w:keepLines w:val="0"/>
                    <w:pageBreakBefore w:val="0"/>
                    <w:suppressLineNumbers w:val="0"/>
                    <w:kinsoku/>
                    <w:wordWrap/>
                    <w:overflowPunct/>
                    <w:topLinePunct w:val="0"/>
                    <w:autoSpaceDE/>
                    <w:autoSpaceDN/>
                    <w:bidi w:val="0"/>
                    <w:adjustRightInd/>
                    <w:spacing w:before="0" w:beforeLines="0" w:beforeAutospacing="0" w:after="0" w:afterAutospacing="0" w:line="290" w:lineRule="exact"/>
                    <w:ind w:left="-53" w:leftChars="-25" w:right="-53" w:rightChars="-25"/>
                    <w:jc w:val="center"/>
                    <w:textAlignment w:val="auto"/>
                    <w:rPr>
                      <w:rFonts w:hint="default"/>
                      <w:color w:val="auto"/>
                      <w:sz w:val="15"/>
                      <w:szCs w:val="15"/>
                    </w:rPr>
                  </w:pPr>
                  <w:r>
                    <w:rPr>
                      <w:rFonts w:hint="default"/>
                      <w:color w:val="auto"/>
                      <w:sz w:val="15"/>
                      <w:szCs w:val="15"/>
                    </w:rPr>
                    <w:t>具毒性、腐蚀性、易燃易爆性的废弃化学物品。</w:t>
                  </w:r>
                </w:p>
              </w:tc>
              <w:tc>
                <w:tcPr>
                  <w:tcW w:w="5583" w:type="dxa"/>
                  <w:tcBorders>
                    <w:top w:val="single" w:color="auto" w:sz="4" w:space="0"/>
                    <w:left w:val="single" w:color="auto" w:sz="4" w:space="0"/>
                    <w:bottom w:val="single" w:color="auto" w:sz="4" w:space="0"/>
                    <w:right w:val="single" w:color="auto" w:sz="4" w:space="0"/>
                  </w:tcBorders>
                </w:tcPr>
                <w:p w14:paraId="4355DC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0" w:right="0"/>
                    <w:textAlignment w:val="auto"/>
                    <w:rPr>
                      <w:rFonts w:hint="default"/>
                      <w:color w:val="auto"/>
                      <w:sz w:val="15"/>
                      <w:szCs w:val="15"/>
                    </w:rPr>
                  </w:pPr>
                  <w:r>
                    <w:rPr>
                      <w:rFonts w:hint="default"/>
                      <w:color w:val="auto"/>
                      <w:sz w:val="15"/>
                      <w:szCs w:val="15"/>
                    </w:rPr>
                    <w:t>1、医学影像室、实验室废弃的化学试剂。</w:t>
                  </w:r>
                </w:p>
              </w:tc>
            </w:tr>
            <w:tr w14:paraId="1D01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14:paraId="4753878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14:paraId="5581B374">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tcPr>
                <w:p w14:paraId="2E6A3D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0" w:right="0"/>
                    <w:textAlignment w:val="auto"/>
                    <w:rPr>
                      <w:rFonts w:hint="default"/>
                      <w:color w:val="auto"/>
                      <w:sz w:val="15"/>
                      <w:szCs w:val="15"/>
                    </w:rPr>
                  </w:pPr>
                  <w:r>
                    <w:rPr>
                      <w:rFonts w:hint="default"/>
                      <w:color w:val="auto"/>
                      <w:sz w:val="15"/>
                      <w:szCs w:val="15"/>
                    </w:rPr>
                    <w:t>2、废弃的过氧乙酸、戊二醛等化学</w:t>
                  </w:r>
                  <w:r>
                    <w:rPr>
                      <w:rFonts w:hint="eastAsia"/>
                      <w:color w:val="auto"/>
                      <w:sz w:val="15"/>
                      <w:szCs w:val="15"/>
                      <w:lang w:eastAsia="zh-CN"/>
                    </w:rPr>
                    <w:t>消毒剂</w:t>
                  </w:r>
                  <w:r>
                    <w:rPr>
                      <w:rFonts w:hint="default"/>
                      <w:color w:val="auto"/>
                      <w:sz w:val="15"/>
                      <w:szCs w:val="15"/>
                    </w:rPr>
                    <w:t>。</w:t>
                  </w:r>
                </w:p>
              </w:tc>
            </w:tr>
            <w:tr w14:paraId="3AD0F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784" w:type="dxa"/>
                  <w:vMerge w:val="continue"/>
                  <w:tcBorders>
                    <w:top w:val="single" w:color="auto" w:sz="4" w:space="0"/>
                    <w:left w:val="single" w:color="auto" w:sz="4" w:space="0"/>
                    <w:bottom w:val="single" w:color="auto" w:sz="4" w:space="0"/>
                    <w:right w:val="single" w:color="auto" w:sz="4" w:space="0"/>
                  </w:tcBorders>
                  <w:vAlign w:val="center"/>
                </w:tcPr>
                <w:p w14:paraId="71166C3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1442" w:type="dxa"/>
                  <w:vMerge w:val="continue"/>
                  <w:tcBorders>
                    <w:top w:val="single" w:color="auto" w:sz="4" w:space="0"/>
                    <w:left w:val="single" w:color="auto" w:sz="4" w:space="0"/>
                    <w:bottom w:val="single" w:color="auto" w:sz="4" w:space="0"/>
                    <w:right w:val="single" w:color="auto" w:sz="4" w:space="0"/>
                  </w:tcBorders>
                  <w:vAlign w:val="center"/>
                </w:tcPr>
                <w:p w14:paraId="1E2566D2">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290" w:lineRule="exact"/>
                    <w:ind w:left="-53" w:leftChars="-25" w:right="-53" w:rightChars="-25"/>
                    <w:jc w:val="center"/>
                    <w:textAlignment w:val="auto"/>
                    <w:rPr>
                      <w:rFonts w:hint="default"/>
                      <w:color w:val="auto"/>
                      <w:sz w:val="15"/>
                      <w:szCs w:val="15"/>
                    </w:rPr>
                  </w:pPr>
                </w:p>
              </w:tc>
              <w:tc>
                <w:tcPr>
                  <w:tcW w:w="5583" w:type="dxa"/>
                  <w:tcBorders>
                    <w:top w:val="single" w:color="auto" w:sz="4" w:space="0"/>
                    <w:left w:val="single" w:color="auto" w:sz="4" w:space="0"/>
                    <w:bottom w:val="single" w:color="auto" w:sz="4" w:space="0"/>
                    <w:right w:val="single" w:color="auto" w:sz="4" w:space="0"/>
                  </w:tcBorders>
                </w:tcPr>
                <w:p w14:paraId="0B974A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0" w:lineRule="exact"/>
                    <w:ind w:left="0" w:right="0"/>
                    <w:textAlignment w:val="auto"/>
                    <w:rPr>
                      <w:rFonts w:hint="default"/>
                      <w:color w:val="auto"/>
                      <w:sz w:val="15"/>
                      <w:szCs w:val="15"/>
                    </w:rPr>
                  </w:pPr>
                  <w:r>
                    <w:rPr>
                      <w:rFonts w:hint="default"/>
                      <w:color w:val="auto"/>
                      <w:sz w:val="15"/>
                      <w:szCs w:val="15"/>
                    </w:rPr>
                    <w:t>3、废弃的汞血压计、汞温度计。</w:t>
                  </w:r>
                </w:p>
              </w:tc>
            </w:tr>
          </w:tbl>
          <w:p w14:paraId="0320B0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根据类比分析，医院病床每日产生医疗废物0.25kg计（其中包含日常治疗产生的垃圾），按日最大住院人数80人计</w:t>
            </w:r>
            <w:r>
              <w:rPr>
                <w:rFonts w:hint="eastAsia"/>
                <w:color w:val="auto"/>
                <w:szCs w:val="21"/>
                <w:lang w:eastAsia="zh-CN"/>
              </w:rPr>
              <w:t>（</w:t>
            </w:r>
            <w:r>
              <w:rPr>
                <w:rFonts w:hint="eastAsia"/>
                <w:color w:val="auto"/>
                <w:szCs w:val="21"/>
                <w:lang w:val="en-US" w:eastAsia="zh-CN"/>
              </w:rPr>
              <w:t>血透患者的医疗废物按住院病人计</w:t>
            </w:r>
            <w:r>
              <w:rPr>
                <w:rFonts w:hint="eastAsia"/>
                <w:color w:val="auto"/>
                <w:szCs w:val="21"/>
                <w:lang w:eastAsia="zh-CN"/>
              </w:rPr>
              <w:t>）</w:t>
            </w:r>
            <w:r>
              <w:rPr>
                <w:rFonts w:hint="eastAsia"/>
                <w:color w:val="auto"/>
                <w:szCs w:val="21"/>
              </w:rPr>
              <w:t>，医疗废物产生量20kg/d；门诊的医疗废物按0.2kg/人计，按日均就诊20人计，医疗废物产生量4kg/d。经估算，项目运营期医疗废物产生量约8.76t/a。</w:t>
            </w:r>
          </w:p>
          <w:p w14:paraId="625F22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③生活垃圾</w:t>
            </w:r>
          </w:p>
          <w:p w14:paraId="0B903F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来源于本项目医护人员、行政人员、门诊及住院病人日常生活产生的生活垃圾，生活垃圾产生量约4.38</w:t>
            </w:r>
            <w:r>
              <w:rPr>
                <w:rFonts w:hint="default"/>
                <w:color w:val="auto"/>
                <w:szCs w:val="21"/>
              </w:rPr>
              <w:t>t/a</w:t>
            </w:r>
            <w:r>
              <w:rPr>
                <w:rFonts w:hint="eastAsia"/>
                <w:color w:val="auto"/>
                <w:szCs w:val="21"/>
              </w:rPr>
              <w:t>。</w:t>
            </w:r>
          </w:p>
          <w:p w14:paraId="42FB11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lang w:val="en-US" w:eastAsia="zh-CN"/>
              </w:rPr>
            </w:pPr>
            <w:r>
              <w:rPr>
                <w:rFonts w:hint="eastAsia"/>
                <w:color w:val="auto"/>
                <w:szCs w:val="21"/>
                <w:lang w:val="en-US" w:eastAsia="zh-CN"/>
              </w:rPr>
              <w:t>④煎药废气处理装置的废活性炭：项目煎药室煎药过程产生的废气采用活性炭吸附装置处理，废气处理装置设有 1个活性炭箱（规格:1100mmX1100mmX1000mm,蜂窝状活性炭,活性炭填充量为200kg）。为保证废气处理装置处理效率，活性炭箱内活性炭每年更换一次，则废活性炭产生量约0.2t/a。废活性炭属于危险废物，废物类别为HW49其他废物，废物代码为 900-039-49。</w:t>
            </w:r>
          </w:p>
          <w:p w14:paraId="6BB27A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lang w:val="en-US" w:eastAsia="zh-CN"/>
              </w:rPr>
              <w:t>⑤</w:t>
            </w:r>
            <w:r>
              <w:rPr>
                <w:rFonts w:hint="eastAsia"/>
                <w:color w:val="auto"/>
                <w:szCs w:val="21"/>
              </w:rPr>
              <w:t>一次性输液瓶（袋）</w:t>
            </w:r>
          </w:p>
          <w:p w14:paraId="11B222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主要来源于医院为病人治疗、修养过程中，一次性输液瓶（袋）产生量为3.56t/a，不属于危险废物。通过集中收集后，委托有资质的单位回收处置。</w:t>
            </w:r>
          </w:p>
          <w:p w14:paraId="0B254F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eastAsia="宋体"/>
                <w:color w:val="auto"/>
                <w:szCs w:val="21"/>
                <w:lang w:val="en-US" w:eastAsia="zh-CN"/>
              </w:rPr>
            </w:pPr>
            <w:r>
              <w:rPr>
                <w:rFonts w:hint="eastAsia"/>
                <w:color w:val="auto"/>
                <w:szCs w:val="21"/>
                <w:lang w:val="en-US" w:eastAsia="zh-CN"/>
              </w:rPr>
              <w:t>⑥根据类比分析，项目</w:t>
            </w:r>
            <w:r>
              <w:rPr>
                <w:rFonts w:hint="eastAsia"/>
                <w:bCs/>
                <w:color w:val="auto"/>
                <w:lang w:val="zh-CN"/>
              </w:rPr>
              <w:t>纯水制备产生的废石英砂</w:t>
            </w:r>
            <w:r>
              <w:rPr>
                <w:rFonts w:hint="eastAsia"/>
                <w:bCs/>
                <w:color w:val="auto"/>
                <w:lang w:val="en-US" w:eastAsia="zh-CN"/>
              </w:rPr>
              <w:t>约0.1t/a，</w:t>
            </w:r>
            <w:r>
              <w:rPr>
                <w:rFonts w:hint="eastAsia"/>
                <w:bCs/>
                <w:color w:val="auto"/>
                <w:lang w:val="zh-CN"/>
              </w:rPr>
              <w:t>废活性炭</w:t>
            </w:r>
            <w:r>
              <w:rPr>
                <w:rFonts w:hint="eastAsia"/>
                <w:bCs/>
                <w:color w:val="auto"/>
                <w:lang w:val="en-US" w:eastAsia="zh-CN"/>
              </w:rPr>
              <w:t>产生量约0.05t/a，</w:t>
            </w:r>
            <w:r>
              <w:rPr>
                <w:rFonts w:hint="eastAsia"/>
                <w:bCs/>
                <w:color w:val="auto"/>
                <w:lang w:val="zh-CN"/>
              </w:rPr>
              <w:t>废树脂</w:t>
            </w:r>
            <w:r>
              <w:rPr>
                <w:rFonts w:hint="eastAsia"/>
                <w:bCs/>
                <w:color w:val="auto"/>
                <w:lang w:val="en-US" w:eastAsia="zh-CN"/>
              </w:rPr>
              <w:t>约0.03t/a。</w:t>
            </w:r>
          </w:p>
          <w:p w14:paraId="287428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（2）处置方式和去向</w:t>
            </w:r>
          </w:p>
          <w:p w14:paraId="1ADD28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①医疗废物：属于列入《国家危险废物名录（2021年版）》，属于危险废物（废物类别</w:t>
            </w:r>
            <w:r>
              <w:rPr>
                <w:rFonts w:hint="default"/>
                <w:color w:val="auto"/>
                <w:szCs w:val="21"/>
              </w:rPr>
              <w:t>HW01</w:t>
            </w:r>
            <w:r>
              <w:rPr>
                <w:rFonts w:hint="eastAsia"/>
                <w:color w:val="auto"/>
                <w:szCs w:val="21"/>
              </w:rPr>
              <w:t>，废物代码</w:t>
            </w:r>
            <w:r>
              <w:rPr>
                <w:rFonts w:hint="default"/>
                <w:color w:val="auto"/>
                <w:szCs w:val="21"/>
              </w:rPr>
              <w:t>831-001-01</w:t>
            </w:r>
            <w:r>
              <w:rPr>
                <w:rFonts w:hint="eastAsia"/>
                <w:color w:val="auto"/>
                <w:szCs w:val="21"/>
              </w:rPr>
              <w:t>～</w:t>
            </w:r>
            <w:r>
              <w:rPr>
                <w:rFonts w:hint="default"/>
                <w:color w:val="auto"/>
                <w:szCs w:val="21"/>
              </w:rPr>
              <w:t>831-005-01</w:t>
            </w:r>
            <w:r>
              <w:rPr>
                <w:rFonts w:hint="eastAsia"/>
                <w:color w:val="auto"/>
                <w:szCs w:val="21"/>
              </w:rPr>
              <w:t>）。必须按照危险废物有关要求进行收集暂存和处理。</w:t>
            </w:r>
          </w:p>
          <w:p w14:paraId="2536CE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eastAsia="宋体"/>
                <w:color w:val="auto"/>
                <w:szCs w:val="21"/>
                <w:lang w:val="en-US" w:eastAsia="zh-CN"/>
              </w:rPr>
            </w:pPr>
            <w:r>
              <w:rPr>
                <w:rFonts w:hint="eastAsia"/>
                <w:color w:val="auto"/>
                <w:szCs w:val="21"/>
              </w:rPr>
              <w:t>根据</w:t>
            </w:r>
            <w:r>
              <w:rPr>
                <w:rFonts w:hint="eastAsia"/>
                <w:color w:val="auto"/>
                <w:szCs w:val="21"/>
                <w:lang w:val="en-US" w:eastAsia="zh-CN"/>
              </w:rPr>
              <w:t>项目设计</w:t>
            </w:r>
            <w:r>
              <w:rPr>
                <w:rFonts w:hint="eastAsia"/>
                <w:color w:val="auto"/>
                <w:szCs w:val="21"/>
              </w:rPr>
              <w:t>，</w:t>
            </w:r>
            <w:r>
              <w:rPr>
                <w:rFonts w:hint="eastAsia"/>
                <w:color w:val="auto"/>
                <w:szCs w:val="21"/>
                <w:lang w:val="en-US" w:eastAsia="zh-CN"/>
              </w:rPr>
              <w:t>建设单位</w:t>
            </w:r>
            <w:r>
              <w:rPr>
                <w:rFonts w:hint="eastAsia"/>
                <w:color w:val="auto"/>
                <w:szCs w:val="21"/>
              </w:rPr>
              <w:t>拟</w:t>
            </w:r>
            <w:r>
              <w:rPr>
                <w:rFonts w:hint="eastAsia"/>
                <w:color w:val="auto"/>
                <w:szCs w:val="21"/>
                <w:lang w:val="en-US" w:eastAsia="zh-CN"/>
              </w:rPr>
              <w:t>在医疗楼一层东南角设置一个危废间，</w:t>
            </w:r>
            <w:r>
              <w:rPr>
                <w:rFonts w:hint="eastAsia"/>
                <w:color w:val="auto"/>
                <w:szCs w:val="21"/>
              </w:rPr>
              <w:t>建筑面积约15m</w:t>
            </w:r>
            <w:r>
              <w:rPr>
                <w:rFonts w:hint="eastAsia"/>
                <w:color w:val="auto"/>
                <w:szCs w:val="21"/>
                <w:vertAlign w:val="superscript"/>
              </w:rPr>
              <w:t>2</w:t>
            </w:r>
            <w:r>
              <w:rPr>
                <w:rFonts w:hint="eastAsia"/>
                <w:color w:val="auto"/>
                <w:szCs w:val="21"/>
                <w:lang w:eastAsia="zh-CN"/>
              </w:rPr>
              <w:t>。</w:t>
            </w:r>
            <w:r>
              <w:rPr>
                <w:rFonts w:hint="eastAsia"/>
                <w:color w:val="auto"/>
                <w:szCs w:val="21"/>
              </w:rPr>
              <w:t>暂存间采取“四防”措施，设置有分类收集容器</w:t>
            </w:r>
            <w:r>
              <w:rPr>
                <w:rFonts w:hint="eastAsia"/>
                <w:color w:val="auto"/>
                <w:szCs w:val="21"/>
                <w:lang w:eastAsia="zh-CN"/>
              </w:rPr>
              <w:t>，</w:t>
            </w:r>
            <w:r>
              <w:rPr>
                <w:rFonts w:hint="eastAsia"/>
                <w:color w:val="auto"/>
                <w:szCs w:val="21"/>
                <w:lang w:val="en-US" w:eastAsia="zh-CN"/>
              </w:rPr>
              <w:t>医疗废物和废活性炭等分类收集暂存</w:t>
            </w:r>
            <w:r>
              <w:rPr>
                <w:rFonts w:hint="eastAsia"/>
                <w:color w:val="auto"/>
                <w:szCs w:val="21"/>
              </w:rPr>
              <w:t>。营运时对其中的感染性废物、损伤性废物均委托达州佳境医疗废物处理有限公司集中处置。病理性废物收集后定期交当地殡葬部门处置。药物性废物、化学性废物均委托有资质的单位回收处理。</w:t>
            </w:r>
            <w:r>
              <w:rPr>
                <w:rFonts w:hint="eastAsia"/>
                <w:color w:val="auto"/>
                <w:szCs w:val="21"/>
                <w:lang w:val="en-US" w:eastAsia="zh-CN"/>
              </w:rPr>
              <w:t>废活性炭交由有资质的单位回收处置。</w:t>
            </w:r>
          </w:p>
          <w:p w14:paraId="78BBDD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医疗废物须按照国家相关规定的要求，置于专用容器，与生活垃圾分开存放，不得露天存放，并设明显警示标识。转移过程中严格执行“危险废物转移联单制度”。</w:t>
            </w:r>
          </w:p>
          <w:p w14:paraId="04AC71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②项目产生的污泥定期清掏，经石灰彻底消杀处理后，委托有资质的单位收集处理，在其收集、贮存、清运及处理过程中必须执行《危险废物转移联单管理办法》中的有关规定，严格执行“危险废物转移联单制度”。</w:t>
            </w:r>
          </w:p>
          <w:p w14:paraId="60D9FE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③一般固废：生活垃圾与医疗废物分开单独收集，由垃圾桶收集后，委托当地环卫部门清运，对生活垃圾必须做到</w:t>
            </w:r>
            <w:r>
              <w:rPr>
                <w:rFonts w:hint="default"/>
                <w:color w:val="auto"/>
                <w:szCs w:val="21"/>
              </w:rPr>
              <w:t>“</w:t>
            </w:r>
            <w:r>
              <w:rPr>
                <w:rFonts w:hint="eastAsia"/>
                <w:color w:val="auto"/>
                <w:szCs w:val="21"/>
              </w:rPr>
              <w:t>日产日清</w:t>
            </w:r>
            <w:r>
              <w:rPr>
                <w:rFonts w:hint="default"/>
                <w:color w:val="auto"/>
                <w:szCs w:val="21"/>
              </w:rPr>
              <w:t>”</w:t>
            </w:r>
            <w:r>
              <w:rPr>
                <w:rFonts w:hint="eastAsia"/>
                <w:color w:val="auto"/>
                <w:szCs w:val="21"/>
              </w:rPr>
              <w:t>，保证院区范围内无腐烂垃圾堆放。一次性输液瓶（袋）不属于危险废物。通过集中收集后，委托有资质的回收公司处置。</w:t>
            </w:r>
          </w:p>
          <w:p w14:paraId="120D6532">
            <w:pPr>
              <w:keepNext w:val="0"/>
              <w:keepLines w:val="0"/>
              <w:suppressLineNumbers w:val="0"/>
              <w:spacing w:before="0" w:beforeAutospacing="0" w:after="0" w:afterAutospacing="0" w:line="400" w:lineRule="exact"/>
              <w:ind w:left="0" w:right="0"/>
              <w:jc w:val="center"/>
              <w:rPr>
                <w:rFonts w:hint="default" w:eastAsia="黑体"/>
                <w:color w:val="auto"/>
                <w:sz w:val="24"/>
              </w:rPr>
            </w:pPr>
            <w:r>
              <w:rPr>
                <w:rFonts w:hint="eastAsia" w:ascii="黑体" w:hAnsi="黑体" w:eastAsia="黑体" w:cs="黑体"/>
                <w:color w:val="auto"/>
                <w:sz w:val="18"/>
                <w:szCs w:val="18"/>
              </w:rPr>
              <w:t>表4-14     建项目的固体废弃物产生及处置情况</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851"/>
              <w:gridCol w:w="1318"/>
              <w:gridCol w:w="993"/>
              <w:gridCol w:w="709"/>
              <w:gridCol w:w="3368"/>
            </w:tblGrid>
            <w:tr w14:paraId="08771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jc w:val="center"/>
              </w:trPr>
              <w:tc>
                <w:tcPr>
                  <w:tcW w:w="678" w:type="dxa"/>
                  <w:vAlign w:val="center"/>
                </w:tcPr>
                <w:p w14:paraId="64C869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序号</w:t>
                  </w:r>
                </w:p>
              </w:tc>
              <w:tc>
                <w:tcPr>
                  <w:tcW w:w="851" w:type="dxa"/>
                  <w:vAlign w:val="center"/>
                </w:tcPr>
                <w:p w14:paraId="771633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分类</w:t>
                  </w:r>
                </w:p>
              </w:tc>
              <w:tc>
                <w:tcPr>
                  <w:tcW w:w="1318" w:type="dxa"/>
                  <w:vAlign w:val="center"/>
                </w:tcPr>
                <w:p w14:paraId="5FFAE7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固废名称</w:t>
                  </w:r>
                </w:p>
              </w:tc>
              <w:tc>
                <w:tcPr>
                  <w:tcW w:w="993" w:type="dxa"/>
                  <w:vAlign w:val="center"/>
                </w:tcPr>
                <w:p w14:paraId="75A877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编号</w:t>
                  </w:r>
                  <w:r>
                    <w:rPr>
                      <w:rFonts w:hint="eastAsia"/>
                      <w:color w:val="auto"/>
                      <w:sz w:val="18"/>
                      <w:szCs w:val="18"/>
                    </w:rPr>
                    <w:t>/代码</w:t>
                  </w:r>
                </w:p>
              </w:tc>
              <w:tc>
                <w:tcPr>
                  <w:tcW w:w="709" w:type="dxa"/>
                  <w:vAlign w:val="center"/>
                </w:tcPr>
                <w:p w14:paraId="62490E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产生量</w:t>
                  </w:r>
                </w:p>
              </w:tc>
              <w:tc>
                <w:tcPr>
                  <w:tcW w:w="3368" w:type="dxa"/>
                  <w:tcBorders>
                    <w:right w:val="single" w:color="auto" w:sz="4" w:space="0"/>
                  </w:tcBorders>
                  <w:vAlign w:val="center"/>
                </w:tcPr>
                <w:p w14:paraId="36D36C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处置方法</w:t>
                  </w:r>
                </w:p>
              </w:tc>
            </w:tr>
            <w:tr w14:paraId="0B03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678" w:type="dxa"/>
                  <w:vAlign w:val="center"/>
                </w:tcPr>
                <w:p w14:paraId="48AADA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1</w:t>
                  </w:r>
                </w:p>
              </w:tc>
              <w:tc>
                <w:tcPr>
                  <w:tcW w:w="851" w:type="dxa"/>
                  <w:vAlign w:val="center"/>
                </w:tcPr>
                <w:p w14:paraId="67BE0EF8">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textAlignment w:val="auto"/>
                    <w:rPr>
                      <w:rFonts w:hint="default" w:ascii="Times New Roman" w:hAnsi="Times New Roman"/>
                      <w:color w:val="auto"/>
                      <w:sz w:val="18"/>
                      <w:szCs w:val="18"/>
                    </w:rPr>
                  </w:pPr>
                  <w:r>
                    <w:rPr>
                      <w:rFonts w:hint="default" w:ascii="Times New Roman" w:hAnsi="Times New Roman"/>
                      <w:color w:val="auto"/>
                      <w:sz w:val="18"/>
                      <w:szCs w:val="18"/>
                    </w:rPr>
                    <w:t>一般固废</w:t>
                  </w:r>
                </w:p>
              </w:tc>
              <w:tc>
                <w:tcPr>
                  <w:tcW w:w="1318" w:type="dxa"/>
                  <w:vAlign w:val="center"/>
                </w:tcPr>
                <w:p w14:paraId="72BACE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一次性输液</w:t>
                  </w:r>
                  <w:r>
                    <w:rPr>
                      <w:rFonts w:hint="eastAsia"/>
                      <w:color w:val="auto"/>
                      <w:sz w:val="18"/>
                      <w:szCs w:val="18"/>
                    </w:rPr>
                    <w:t>瓶（袋）</w:t>
                  </w:r>
                </w:p>
              </w:tc>
              <w:tc>
                <w:tcPr>
                  <w:tcW w:w="993" w:type="dxa"/>
                  <w:vAlign w:val="center"/>
                </w:tcPr>
                <w:p w14:paraId="2756FD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w:t>
                  </w:r>
                </w:p>
              </w:tc>
              <w:tc>
                <w:tcPr>
                  <w:tcW w:w="709" w:type="dxa"/>
                  <w:vAlign w:val="center"/>
                </w:tcPr>
                <w:p w14:paraId="3E93C7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3.56</w:t>
                  </w:r>
                  <w:r>
                    <w:rPr>
                      <w:rFonts w:hint="default"/>
                      <w:color w:val="auto"/>
                      <w:sz w:val="18"/>
                      <w:szCs w:val="18"/>
                    </w:rPr>
                    <w:t>t/a</w:t>
                  </w:r>
                </w:p>
              </w:tc>
              <w:tc>
                <w:tcPr>
                  <w:tcW w:w="3368" w:type="dxa"/>
                  <w:tcBorders>
                    <w:right w:val="single" w:color="auto" w:sz="4" w:space="0"/>
                  </w:tcBorders>
                  <w:vAlign w:val="center"/>
                </w:tcPr>
                <w:p w14:paraId="1E3127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集中收集后，委托有资质的回收公司处置</w:t>
                  </w:r>
                </w:p>
              </w:tc>
            </w:tr>
            <w:tr w14:paraId="24376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678" w:type="dxa"/>
                  <w:vAlign w:val="center"/>
                </w:tcPr>
                <w:p w14:paraId="37E594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2</w:t>
                  </w:r>
                </w:p>
              </w:tc>
              <w:tc>
                <w:tcPr>
                  <w:tcW w:w="851" w:type="dxa"/>
                  <w:vAlign w:val="center"/>
                </w:tcPr>
                <w:p w14:paraId="52740B77">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textAlignment w:val="auto"/>
                    <w:rPr>
                      <w:rFonts w:hint="default" w:ascii="Times New Roman" w:hAnsi="Times New Roman"/>
                      <w:color w:val="auto"/>
                      <w:sz w:val="18"/>
                      <w:szCs w:val="18"/>
                    </w:rPr>
                  </w:pPr>
                  <w:r>
                    <w:rPr>
                      <w:rFonts w:hint="default" w:ascii="Times New Roman" w:hAnsi="Times New Roman"/>
                      <w:color w:val="auto"/>
                      <w:sz w:val="18"/>
                      <w:szCs w:val="18"/>
                    </w:rPr>
                    <w:t>一般固废</w:t>
                  </w:r>
                </w:p>
              </w:tc>
              <w:tc>
                <w:tcPr>
                  <w:tcW w:w="1318" w:type="dxa"/>
                  <w:vAlign w:val="center"/>
                </w:tcPr>
                <w:p w14:paraId="0DA468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eastAsia"/>
                      <w:color w:val="auto"/>
                      <w:sz w:val="18"/>
                      <w:szCs w:val="18"/>
                      <w:lang w:val="en-US" w:eastAsia="zh-CN"/>
                    </w:rPr>
                  </w:pPr>
                  <w:r>
                    <w:rPr>
                      <w:rFonts w:hint="eastAsia"/>
                      <w:color w:val="auto"/>
                      <w:sz w:val="18"/>
                      <w:szCs w:val="18"/>
                      <w:lang w:val="en-US" w:eastAsia="zh-CN"/>
                    </w:rPr>
                    <w:t>纯水制备的</w:t>
                  </w:r>
                </w:p>
                <w:p w14:paraId="3A1A34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eastAsia="宋体"/>
                      <w:color w:val="auto"/>
                      <w:sz w:val="18"/>
                      <w:szCs w:val="18"/>
                      <w:lang w:val="en-US" w:eastAsia="zh-CN"/>
                    </w:rPr>
                  </w:pPr>
                  <w:r>
                    <w:rPr>
                      <w:rFonts w:hint="eastAsia"/>
                      <w:color w:val="auto"/>
                      <w:sz w:val="18"/>
                      <w:szCs w:val="18"/>
                      <w:lang w:val="en-US" w:eastAsia="zh-CN"/>
                    </w:rPr>
                    <w:t>废物</w:t>
                  </w:r>
                </w:p>
              </w:tc>
              <w:tc>
                <w:tcPr>
                  <w:tcW w:w="993" w:type="dxa"/>
                  <w:vAlign w:val="center"/>
                </w:tcPr>
                <w:p w14:paraId="7E38B0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w:t>
                  </w:r>
                </w:p>
              </w:tc>
              <w:tc>
                <w:tcPr>
                  <w:tcW w:w="709" w:type="dxa"/>
                  <w:vAlign w:val="center"/>
                </w:tcPr>
                <w:p w14:paraId="5F83D2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0.</w:t>
                  </w:r>
                  <w:r>
                    <w:rPr>
                      <w:rFonts w:hint="eastAsia"/>
                      <w:color w:val="auto"/>
                      <w:sz w:val="18"/>
                      <w:szCs w:val="18"/>
                      <w:lang w:val="en-US" w:eastAsia="zh-CN"/>
                    </w:rPr>
                    <w:t>18</w:t>
                  </w:r>
                  <w:r>
                    <w:rPr>
                      <w:rFonts w:hint="eastAsia"/>
                      <w:color w:val="auto"/>
                      <w:sz w:val="18"/>
                      <w:szCs w:val="18"/>
                    </w:rPr>
                    <w:t>t/a</w:t>
                  </w:r>
                </w:p>
              </w:tc>
              <w:tc>
                <w:tcPr>
                  <w:tcW w:w="3368" w:type="dxa"/>
                  <w:tcBorders>
                    <w:right w:val="single" w:color="auto" w:sz="4" w:space="0"/>
                  </w:tcBorders>
                  <w:vAlign w:val="center"/>
                </w:tcPr>
                <w:p w14:paraId="31B5CA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eastAsia="宋体"/>
                      <w:color w:val="auto"/>
                      <w:sz w:val="18"/>
                      <w:szCs w:val="18"/>
                      <w:lang w:val="en-US" w:eastAsia="zh-CN"/>
                    </w:rPr>
                  </w:pPr>
                  <w:r>
                    <w:rPr>
                      <w:rFonts w:hint="eastAsia"/>
                      <w:color w:val="auto"/>
                      <w:sz w:val="18"/>
                      <w:szCs w:val="18"/>
                      <w:lang w:val="en-US" w:eastAsia="zh-CN"/>
                    </w:rPr>
                    <w:t>环卫部门清运</w:t>
                  </w:r>
                  <w:r>
                    <w:rPr>
                      <w:rFonts w:hint="eastAsia"/>
                      <w:color w:val="auto"/>
                      <w:sz w:val="18"/>
                      <w:szCs w:val="18"/>
                    </w:rPr>
                    <w:t>处置</w:t>
                  </w:r>
                  <w:r>
                    <w:rPr>
                      <w:rFonts w:hint="eastAsia"/>
                      <w:color w:val="auto"/>
                      <w:sz w:val="18"/>
                      <w:szCs w:val="18"/>
                      <w:lang w:val="en-US" w:eastAsia="zh-CN"/>
                    </w:rPr>
                    <w:t>或厂家回收</w:t>
                  </w:r>
                </w:p>
              </w:tc>
            </w:tr>
            <w:tr w14:paraId="707E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678" w:type="dxa"/>
                  <w:vAlign w:val="center"/>
                </w:tcPr>
                <w:p w14:paraId="1B9492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3</w:t>
                  </w:r>
                </w:p>
              </w:tc>
              <w:tc>
                <w:tcPr>
                  <w:tcW w:w="851" w:type="dxa"/>
                  <w:vAlign w:val="center"/>
                </w:tcPr>
                <w:p w14:paraId="0C96C905">
                  <w:pPr>
                    <w:pStyle w:val="4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textAlignment w:val="auto"/>
                    <w:rPr>
                      <w:rFonts w:hint="default" w:ascii="Times New Roman" w:hAnsi="Times New Roman"/>
                      <w:color w:val="auto"/>
                      <w:sz w:val="18"/>
                      <w:szCs w:val="18"/>
                    </w:rPr>
                  </w:pPr>
                  <w:r>
                    <w:rPr>
                      <w:rFonts w:hint="default" w:ascii="Times New Roman" w:hAnsi="Times New Roman"/>
                      <w:color w:val="auto"/>
                      <w:sz w:val="18"/>
                      <w:szCs w:val="18"/>
                    </w:rPr>
                    <w:t>一般固废</w:t>
                  </w:r>
                </w:p>
              </w:tc>
              <w:tc>
                <w:tcPr>
                  <w:tcW w:w="1318" w:type="dxa"/>
                  <w:vAlign w:val="center"/>
                </w:tcPr>
                <w:p w14:paraId="20F095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生活垃圾</w:t>
                  </w:r>
                </w:p>
              </w:tc>
              <w:tc>
                <w:tcPr>
                  <w:tcW w:w="993" w:type="dxa"/>
                  <w:vAlign w:val="center"/>
                </w:tcPr>
                <w:p w14:paraId="563CF9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w:t>
                  </w:r>
                </w:p>
              </w:tc>
              <w:tc>
                <w:tcPr>
                  <w:tcW w:w="709" w:type="dxa"/>
                  <w:vAlign w:val="center"/>
                </w:tcPr>
                <w:p w14:paraId="7BB2DA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4.38</w:t>
                  </w:r>
                  <w:r>
                    <w:rPr>
                      <w:rFonts w:hint="default"/>
                      <w:color w:val="auto"/>
                      <w:sz w:val="18"/>
                      <w:szCs w:val="18"/>
                    </w:rPr>
                    <w:t>t/a</w:t>
                  </w:r>
                </w:p>
              </w:tc>
              <w:tc>
                <w:tcPr>
                  <w:tcW w:w="3368" w:type="dxa"/>
                  <w:tcBorders>
                    <w:right w:val="single" w:color="auto" w:sz="4" w:space="0"/>
                  </w:tcBorders>
                  <w:vAlign w:val="center"/>
                </w:tcPr>
                <w:p w14:paraId="7D7E9F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由垃圾桶收集后，交由</w:t>
                  </w:r>
                  <w:r>
                    <w:rPr>
                      <w:rFonts w:hint="default"/>
                      <w:color w:val="auto"/>
                      <w:sz w:val="18"/>
                      <w:szCs w:val="18"/>
                    </w:rPr>
                    <w:t>环卫部门清运处理，做到“日产日清”</w:t>
                  </w:r>
                </w:p>
              </w:tc>
            </w:tr>
            <w:tr w14:paraId="7DB3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78" w:type="dxa"/>
                  <w:vMerge w:val="restart"/>
                  <w:vAlign w:val="center"/>
                </w:tcPr>
                <w:p w14:paraId="166447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4</w:t>
                  </w:r>
                </w:p>
              </w:tc>
              <w:tc>
                <w:tcPr>
                  <w:tcW w:w="851" w:type="dxa"/>
                  <w:vMerge w:val="restart"/>
                  <w:vAlign w:val="center"/>
                </w:tcPr>
                <w:p w14:paraId="05428D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医疗废物HW01</w:t>
                  </w:r>
                </w:p>
              </w:tc>
              <w:tc>
                <w:tcPr>
                  <w:tcW w:w="1318" w:type="dxa"/>
                  <w:vAlign w:val="center"/>
                </w:tcPr>
                <w:p w14:paraId="7760AB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感染性废物</w:t>
                  </w:r>
                </w:p>
              </w:tc>
              <w:tc>
                <w:tcPr>
                  <w:tcW w:w="993" w:type="dxa"/>
                  <w:vAlign w:val="center"/>
                </w:tcPr>
                <w:p w14:paraId="7D2305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841-001-01</w:t>
                  </w:r>
                </w:p>
              </w:tc>
              <w:tc>
                <w:tcPr>
                  <w:tcW w:w="709" w:type="dxa"/>
                  <w:vMerge w:val="restart"/>
                  <w:vAlign w:val="center"/>
                </w:tcPr>
                <w:p w14:paraId="32DA7E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8.76</w:t>
                  </w:r>
                  <w:r>
                    <w:rPr>
                      <w:rFonts w:hint="default"/>
                      <w:color w:val="auto"/>
                      <w:sz w:val="18"/>
                      <w:szCs w:val="18"/>
                    </w:rPr>
                    <w:t>t/a</w:t>
                  </w:r>
                </w:p>
              </w:tc>
              <w:tc>
                <w:tcPr>
                  <w:tcW w:w="3368" w:type="dxa"/>
                  <w:vMerge w:val="restart"/>
                  <w:tcBorders>
                    <w:right w:val="single" w:color="auto" w:sz="4" w:space="0"/>
                  </w:tcBorders>
                  <w:vAlign w:val="center"/>
                </w:tcPr>
                <w:p w14:paraId="28EBEB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textAlignment w:val="auto"/>
                    <w:rPr>
                      <w:rFonts w:hint="default"/>
                      <w:color w:val="auto"/>
                      <w:sz w:val="18"/>
                      <w:szCs w:val="18"/>
                    </w:rPr>
                  </w:pPr>
                  <w:r>
                    <w:rPr>
                      <w:rFonts w:hint="default"/>
                      <w:color w:val="auto"/>
                      <w:sz w:val="18"/>
                      <w:szCs w:val="18"/>
                    </w:rPr>
                    <w:t>设危废暂存间，采用专用容器分类收集暂存，委托达州佳境医疗废物处理有限公司</w:t>
                  </w:r>
                </w:p>
              </w:tc>
            </w:tr>
            <w:tr w14:paraId="6556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678" w:type="dxa"/>
                  <w:vMerge w:val="continue"/>
                  <w:vAlign w:val="center"/>
                </w:tcPr>
                <w:p w14:paraId="262778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851" w:type="dxa"/>
                  <w:vMerge w:val="continue"/>
                  <w:vAlign w:val="center"/>
                </w:tcPr>
                <w:p w14:paraId="7D7D88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1318" w:type="dxa"/>
                  <w:vAlign w:val="center"/>
                </w:tcPr>
                <w:p w14:paraId="166F94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损伤性废物</w:t>
                  </w:r>
                </w:p>
              </w:tc>
              <w:tc>
                <w:tcPr>
                  <w:tcW w:w="993" w:type="dxa"/>
                  <w:vAlign w:val="center"/>
                </w:tcPr>
                <w:p w14:paraId="139AAC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841-002-01</w:t>
                  </w:r>
                </w:p>
              </w:tc>
              <w:tc>
                <w:tcPr>
                  <w:tcW w:w="709" w:type="dxa"/>
                  <w:vMerge w:val="continue"/>
                  <w:vAlign w:val="center"/>
                </w:tcPr>
                <w:p w14:paraId="563B57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3368" w:type="dxa"/>
                  <w:vMerge w:val="continue"/>
                  <w:tcBorders>
                    <w:right w:val="single" w:color="auto" w:sz="4" w:space="0"/>
                  </w:tcBorders>
                  <w:vAlign w:val="center"/>
                </w:tcPr>
                <w:p w14:paraId="53FA24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r>
            <w:tr w14:paraId="30F77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678" w:type="dxa"/>
                  <w:vMerge w:val="continue"/>
                  <w:vAlign w:val="center"/>
                </w:tcPr>
                <w:p w14:paraId="5E0DBE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851" w:type="dxa"/>
                  <w:vMerge w:val="continue"/>
                  <w:vAlign w:val="center"/>
                </w:tcPr>
                <w:p w14:paraId="129DC0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1318" w:type="dxa"/>
                  <w:vAlign w:val="center"/>
                </w:tcPr>
                <w:p w14:paraId="59E138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病理性废物</w:t>
                  </w:r>
                </w:p>
              </w:tc>
              <w:tc>
                <w:tcPr>
                  <w:tcW w:w="993" w:type="dxa"/>
                  <w:vAlign w:val="center"/>
                </w:tcPr>
                <w:p w14:paraId="700850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841-003-01</w:t>
                  </w:r>
                </w:p>
              </w:tc>
              <w:tc>
                <w:tcPr>
                  <w:tcW w:w="709" w:type="dxa"/>
                  <w:vMerge w:val="continue"/>
                  <w:vAlign w:val="center"/>
                </w:tcPr>
                <w:p w14:paraId="2F005B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3368" w:type="dxa"/>
                  <w:tcBorders>
                    <w:right w:val="single" w:color="auto" w:sz="4" w:space="0"/>
                  </w:tcBorders>
                  <w:vAlign w:val="center"/>
                </w:tcPr>
                <w:p w14:paraId="5B518B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收集后及时交由当地殡葬部门处置</w:t>
                  </w:r>
                </w:p>
              </w:tc>
            </w:tr>
            <w:tr w14:paraId="7D641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678" w:type="dxa"/>
                  <w:vMerge w:val="continue"/>
                  <w:vAlign w:val="center"/>
                </w:tcPr>
                <w:p w14:paraId="5D2719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851" w:type="dxa"/>
                  <w:vMerge w:val="continue"/>
                  <w:vAlign w:val="center"/>
                </w:tcPr>
                <w:p w14:paraId="6FE5F9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1318" w:type="dxa"/>
                  <w:vAlign w:val="center"/>
                </w:tcPr>
                <w:p w14:paraId="4FCA3F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化学性废物</w:t>
                  </w:r>
                </w:p>
              </w:tc>
              <w:tc>
                <w:tcPr>
                  <w:tcW w:w="993" w:type="dxa"/>
                  <w:vAlign w:val="center"/>
                </w:tcPr>
                <w:p w14:paraId="509F28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841-004-01</w:t>
                  </w:r>
                </w:p>
              </w:tc>
              <w:tc>
                <w:tcPr>
                  <w:tcW w:w="709" w:type="dxa"/>
                  <w:vMerge w:val="continue"/>
                  <w:vAlign w:val="center"/>
                </w:tcPr>
                <w:p w14:paraId="5FC499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3368" w:type="dxa"/>
                  <w:vMerge w:val="restart"/>
                  <w:tcBorders>
                    <w:right w:val="single" w:color="auto" w:sz="4" w:space="0"/>
                  </w:tcBorders>
                  <w:vAlign w:val="center"/>
                </w:tcPr>
                <w:p w14:paraId="43A8D1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委托有资质的单位回收处置</w:t>
                  </w:r>
                </w:p>
              </w:tc>
            </w:tr>
            <w:tr w14:paraId="4CA3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678" w:type="dxa"/>
                  <w:vMerge w:val="continue"/>
                  <w:vAlign w:val="center"/>
                </w:tcPr>
                <w:p w14:paraId="2E3572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851" w:type="dxa"/>
                  <w:vMerge w:val="continue"/>
                  <w:vAlign w:val="center"/>
                </w:tcPr>
                <w:p w14:paraId="51D5CE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1318" w:type="dxa"/>
                  <w:vAlign w:val="center"/>
                </w:tcPr>
                <w:p w14:paraId="7CBA44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药物性废物</w:t>
                  </w:r>
                </w:p>
              </w:tc>
              <w:tc>
                <w:tcPr>
                  <w:tcW w:w="993" w:type="dxa"/>
                  <w:vAlign w:val="center"/>
                </w:tcPr>
                <w:p w14:paraId="778E61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841-005-01</w:t>
                  </w:r>
                </w:p>
              </w:tc>
              <w:tc>
                <w:tcPr>
                  <w:tcW w:w="709" w:type="dxa"/>
                  <w:vMerge w:val="continue"/>
                  <w:vAlign w:val="center"/>
                </w:tcPr>
                <w:p w14:paraId="77A8DA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3368" w:type="dxa"/>
                  <w:vMerge w:val="continue"/>
                  <w:tcBorders>
                    <w:right w:val="single" w:color="auto" w:sz="4" w:space="0"/>
                  </w:tcBorders>
                  <w:vAlign w:val="center"/>
                </w:tcPr>
                <w:p w14:paraId="621FEB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r>
            <w:tr w14:paraId="2658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678" w:type="dxa"/>
                  <w:vAlign w:val="center"/>
                </w:tcPr>
                <w:p w14:paraId="73B428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eastAsia" w:eastAsia="宋体"/>
                      <w:color w:val="auto"/>
                      <w:sz w:val="18"/>
                      <w:szCs w:val="18"/>
                      <w:lang w:val="en-US" w:eastAsia="zh-CN"/>
                    </w:rPr>
                  </w:pPr>
                  <w:r>
                    <w:rPr>
                      <w:rFonts w:hint="eastAsia"/>
                      <w:color w:val="auto"/>
                      <w:sz w:val="18"/>
                      <w:szCs w:val="18"/>
                      <w:lang w:val="en-US" w:eastAsia="zh-CN"/>
                    </w:rPr>
                    <w:t>5</w:t>
                  </w:r>
                </w:p>
              </w:tc>
              <w:tc>
                <w:tcPr>
                  <w:tcW w:w="851" w:type="dxa"/>
                  <w:vMerge w:val="restart"/>
                  <w:vAlign w:val="center"/>
                </w:tcPr>
                <w:p w14:paraId="38B65C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危险废物</w:t>
                  </w:r>
                </w:p>
              </w:tc>
              <w:tc>
                <w:tcPr>
                  <w:tcW w:w="1318" w:type="dxa"/>
                  <w:vAlign w:val="center"/>
                </w:tcPr>
                <w:p w14:paraId="4716D9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lang w:val="en-US" w:eastAsia="zh-CN"/>
                    </w:rPr>
                    <w:t>废活性炭</w:t>
                  </w:r>
                </w:p>
              </w:tc>
              <w:tc>
                <w:tcPr>
                  <w:tcW w:w="993" w:type="dxa"/>
                  <w:vAlign w:val="center"/>
                </w:tcPr>
                <w:p w14:paraId="4F6467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eastAsia"/>
                      <w:color w:val="auto"/>
                      <w:sz w:val="18"/>
                      <w:szCs w:val="18"/>
                    </w:rPr>
                  </w:pPr>
                  <w:r>
                    <w:rPr>
                      <w:rFonts w:hint="eastAsia"/>
                      <w:color w:val="auto"/>
                      <w:sz w:val="18"/>
                      <w:szCs w:val="18"/>
                    </w:rPr>
                    <w:t>900-039-49</w:t>
                  </w:r>
                </w:p>
              </w:tc>
              <w:tc>
                <w:tcPr>
                  <w:tcW w:w="709" w:type="dxa"/>
                  <w:vAlign w:val="center"/>
                </w:tcPr>
                <w:p w14:paraId="51E646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eastAsia="宋体"/>
                      <w:color w:val="auto"/>
                      <w:sz w:val="18"/>
                      <w:szCs w:val="18"/>
                      <w:lang w:val="en-US" w:eastAsia="zh-CN"/>
                    </w:rPr>
                  </w:pPr>
                  <w:r>
                    <w:rPr>
                      <w:rFonts w:hint="eastAsia"/>
                      <w:color w:val="auto"/>
                      <w:sz w:val="18"/>
                      <w:szCs w:val="18"/>
                      <w:lang w:val="en-US" w:eastAsia="zh-CN"/>
                    </w:rPr>
                    <w:t>0.2t/a</w:t>
                  </w:r>
                </w:p>
              </w:tc>
              <w:tc>
                <w:tcPr>
                  <w:tcW w:w="3368" w:type="dxa"/>
                  <w:tcBorders>
                    <w:right w:val="single" w:color="auto" w:sz="4" w:space="0"/>
                  </w:tcBorders>
                  <w:vAlign w:val="center"/>
                </w:tcPr>
                <w:p w14:paraId="0F7BC6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委托有资质的单位回收处置</w:t>
                  </w:r>
                </w:p>
              </w:tc>
            </w:tr>
            <w:tr w14:paraId="2727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678" w:type="dxa"/>
                  <w:vAlign w:val="center"/>
                </w:tcPr>
                <w:p w14:paraId="1AAEFB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eastAsia" w:eastAsia="宋体"/>
                      <w:color w:val="auto"/>
                      <w:sz w:val="18"/>
                      <w:szCs w:val="18"/>
                      <w:lang w:eastAsia="zh-CN"/>
                    </w:rPr>
                  </w:pPr>
                  <w:r>
                    <w:rPr>
                      <w:rFonts w:hint="eastAsia"/>
                      <w:color w:val="auto"/>
                      <w:sz w:val="18"/>
                      <w:szCs w:val="18"/>
                      <w:lang w:val="en-US" w:eastAsia="zh-CN"/>
                    </w:rPr>
                    <w:t>6</w:t>
                  </w:r>
                </w:p>
              </w:tc>
              <w:tc>
                <w:tcPr>
                  <w:tcW w:w="851" w:type="dxa"/>
                  <w:vMerge w:val="continue"/>
                  <w:vAlign w:val="center"/>
                </w:tcPr>
                <w:p w14:paraId="4E1F82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p>
              </w:tc>
              <w:tc>
                <w:tcPr>
                  <w:tcW w:w="1318" w:type="dxa"/>
                  <w:vAlign w:val="center"/>
                </w:tcPr>
                <w:p w14:paraId="6BADC0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污水处理站的污泥</w:t>
                  </w:r>
                </w:p>
              </w:tc>
              <w:tc>
                <w:tcPr>
                  <w:tcW w:w="993" w:type="dxa"/>
                  <w:vAlign w:val="center"/>
                </w:tcPr>
                <w:p w14:paraId="39A24C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w:t>
                  </w:r>
                </w:p>
              </w:tc>
              <w:tc>
                <w:tcPr>
                  <w:tcW w:w="709" w:type="dxa"/>
                  <w:vAlign w:val="center"/>
                </w:tcPr>
                <w:p w14:paraId="420D3F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2.04</w:t>
                  </w:r>
                  <w:r>
                    <w:rPr>
                      <w:rFonts w:hint="default"/>
                      <w:color w:val="auto"/>
                      <w:sz w:val="18"/>
                      <w:szCs w:val="18"/>
                    </w:rPr>
                    <w:t>t/a</w:t>
                  </w:r>
                </w:p>
              </w:tc>
              <w:tc>
                <w:tcPr>
                  <w:tcW w:w="3368" w:type="dxa"/>
                  <w:tcBorders>
                    <w:right w:val="single" w:color="auto" w:sz="4" w:space="0"/>
                  </w:tcBorders>
                  <w:vAlign w:val="center"/>
                </w:tcPr>
                <w:p w14:paraId="489F1E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textAlignment w:val="auto"/>
                    <w:rPr>
                      <w:rFonts w:hint="default"/>
                      <w:color w:val="auto"/>
                      <w:sz w:val="18"/>
                      <w:szCs w:val="18"/>
                    </w:rPr>
                  </w:pPr>
                  <w:r>
                    <w:rPr>
                      <w:rFonts w:hint="eastAsia"/>
                      <w:color w:val="auto"/>
                      <w:sz w:val="18"/>
                      <w:szCs w:val="18"/>
                    </w:rPr>
                    <w:t>定期清掏彻底消杀处理后，委托有资质单位处理</w:t>
                  </w:r>
                </w:p>
              </w:tc>
            </w:tr>
            <w:tr w14:paraId="0557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jc w:val="center"/>
              </w:trPr>
              <w:tc>
                <w:tcPr>
                  <w:tcW w:w="3840" w:type="dxa"/>
                  <w:gridSpan w:val="4"/>
                  <w:vAlign w:val="center"/>
                </w:tcPr>
                <w:p w14:paraId="06FAEC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合计</w:t>
                  </w:r>
                </w:p>
              </w:tc>
              <w:tc>
                <w:tcPr>
                  <w:tcW w:w="709" w:type="dxa"/>
                  <w:vAlign w:val="center"/>
                </w:tcPr>
                <w:p w14:paraId="1B11F2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eastAsia"/>
                      <w:color w:val="auto"/>
                      <w:sz w:val="18"/>
                      <w:szCs w:val="18"/>
                    </w:rPr>
                    <w:t>18.74</w:t>
                  </w:r>
                  <w:r>
                    <w:rPr>
                      <w:rFonts w:hint="default"/>
                      <w:color w:val="auto"/>
                      <w:sz w:val="18"/>
                      <w:szCs w:val="18"/>
                    </w:rPr>
                    <w:t>t/a</w:t>
                  </w:r>
                </w:p>
              </w:tc>
              <w:tc>
                <w:tcPr>
                  <w:tcW w:w="3368" w:type="dxa"/>
                  <w:tcBorders>
                    <w:right w:val="single" w:color="auto" w:sz="4" w:space="0"/>
                  </w:tcBorders>
                  <w:vAlign w:val="center"/>
                </w:tcPr>
                <w:p w14:paraId="1E6B43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53" w:leftChars="-25" w:right="-53" w:rightChars="-25"/>
                    <w:jc w:val="center"/>
                    <w:textAlignment w:val="auto"/>
                    <w:rPr>
                      <w:rFonts w:hint="default"/>
                      <w:color w:val="auto"/>
                      <w:sz w:val="18"/>
                      <w:szCs w:val="18"/>
                    </w:rPr>
                  </w:pPr>
                  <w:r>
                    <w:rPr>
                      <w:rFonts w:hint="default"/>
                      <w:color w:val="auto"/>
                      <w:sz w:val="18"/>
                      <w:szCs w:val="18"/>
                    </w:rPr>
                    <w:t>/</w:t>
                  </w:r>
                </w:p>
              </w:tc>
            </w:tr>
          </w:tbl>
          <w:p w14:paraId="4C1DB4A0">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（3）环境管理要求</w:t>
            </w:r>
          </w:p>
          <w:p w14:paraId="38954509">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①医疗废物的分类收集</w:t>
            </w:r>
          </w:p>
          <w:p w14:paraId="4DAEEE59">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根据《医疗卫生机构医疗废物管理办法》（中华人民共和国卫生部令第</w:t>
            </w:r>
            <w:r>
              <w:rPr>
                <w:rFonts w:hint="default"/>
                <w:color w:val="auto"/>
                <w:szCs w:val="21"/>
              </w:rPr>
              <w:t>36</w:t>
            </w:r>
            <w:r>
              <w:rPr>
                <w:rFonts w:hint="eastAsia"/>
                <w:color w:val="auto"/>
                <w:szCs w:val="21"/>
              </w:rPr>
              <w:t>号），医疗卫生机构应当根据《医疗废物分类目录》，对医疗废物实施分类管理。感染性废物、病理性废物、损伤性废物、药物性废物及化学性废物不能混合收集。根据《医疗废物专用包装物、容器标准和警示标识规定》（环发</w:t>
            </w:r>
            <w:r>
              <w:rPr>
                <w:rFonts w:hint="default"/>
                <w:color w:val="auto"/>
                <w:szCs w:val="21"/>
              </w:rPr>
              <w:t>[2003]188</w:t>
            </w:r>
            <w:r>
              <w:rPr>
                <w:rFonts w:hint="eastAsia"/>
                <w:color w:val="auto"/>
                <w:szCs w:val="21"/>
              </w:rPr>
              <w:t>号），医疗废物分类收集设施应满足相应的规范要求。</w:t>
            </w:r>
          </w:p>
          <w:p w14:paraId="4DE31B75">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②医疗废物贮存管理要求</w:t>
            </w:r>
          </w:p>
          <w:p w14:paraId="6E990A84">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在医疗废物交接时应有明确的转运、交接记录。然后根据医疗废物的类别，将医疗废物分置于符合《医疗废物专用包装物、容器的标准和警示标识的规定》的包装物或者容器内，在盛装医疗废物前，应当对医疗废物包装物或者容器进行认真检查，确保无破损、渗漏和其他缺陷。</w:t>
            </w:r>
          </w:p>
          <w:p w14:paraId="5F70A5C9">
            <w:pPr>
              <w:keepNext w:val="0"/>
              <w:keepLines w:val="0"/>
              <w:suppressLineNumbers w:val="0"/>
              <w:spacing w:before="0" w:beforeAutospacing="0" w:after="0" w:afterAutospacing="0" w:line="400" w:lineRule="exact"/>
              <w:ind w:left="0" w:right="0" w:firstLine="420" w:firstLineChars="200"/>
              <w:rPr>
                <w:rFonts w:hint="default"/>
                <w:color w:val="auto"/>
                <w:szCs w:val="21"/>
              </w:rPr>
            </w:pPr>
            <w:r>
              <w:rPr>
                <w:rFonts w:hint="eastAsia"/>
                <w:color w:val="auto"/>
                <w:szCs w:val="21"/>
              </w:rPr>
              <w:t>③应急处置措施</w:t>
            </w:r>
          </w:p>
          <w:p w14:paraId="5E3CD30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4" w:lineRule="exact"/>
              <w:ind w:left="0" w:right="0" w:firstLine="420" w:firstLineChars="200"/>
              <w:jc w:val="left"/>
              <w:textAlignment w:val="auto"/>
              <w:rPr>
                <w:rFonts w:hint="eastAsia"/>
                <w:color w:val="auto"/>
                <w:szCs w:val="21"/>
              </w:rPr>
            </w:pPr>
            <w:r>
              <w:rPr>
                <w:rFonts w:hint="eastAsia"/>
                <w:color w:val="auto"/>
                <w:szCs w:val="21"/>
              </w:rPr>
              <w:t>应急情况包括医疗废物处置过程中，对人员发生刺伤、擦伤等伤害以及在内部转运、集中贮存过程中因包装物损坏造成泄漏等情况。医疗废物管理计划中应对上述应急情况发生时相应的处理程序和措施进行规定。发生刺伤、擦伤时，受伤者待伤情处理后自行或委托其他人上报专职人员，进行详细记录，并根据伤口危害程度确定是否实施跟踪检测。</w:t>
            </w:r>
          </w:p>
          <w:p w14:paraId="5AB261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4" w:lineRule="exact"/>
              <w:ind w:left="0" w:right="0" w:firstLine="420" w:firstLineChars="200"/>
              <w:jc w:val="left"/>
              <w:textAlignment w:val="auto"/>
              <w:rPr>
                <w:rFonts w:hint="eastAsia"/>
                <w:color w:val="auto"/>
                <w:szCs w:val="21"/>
                <w:lang w:val="en-US" w:eastAsia="zh-CN"/>
              </w:rPr>
            </w:pPr>
            <w:r>
              <w:rPr>
                <w:rFonts w:hint="eastAsia"/>
                <w:color w:val="auto"/>
                <w:szCs w:val="21"/>
                <w:lang w:val="en-US" w:eastAsia="zh-CN"/>
              </w:rPr>
              <w:t>④血透患者医疗废物的管理</w:t>
            </w:r>
          </w:p>
          <w:p w14:paraId="53E7CC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4" w:lineRule="exact"/>
              <w:ind w:left="0" w:right="0" w:firstLine="420" w:firstLineChars="200"/>
              <w:jc w:val="left"/>
              <w:textAlignment w:val="auto"/>
              <w:rPr>
                <w:rFonts w:hint="eastAsia"/>
                <w:color w:val="auto"/>
                <w:szCs w:val="21"/>
                <w:lang w:val="en-US" w:eastAsia="zh-CN"/>
              </w:rPr>
            </w:pPr>
            <w:r>
              <w:rPr>
                <w:rFonts w:hint="eastAsia"/>
                <w:color w:val="auto"/>
                <w:szCs w:val="21"/>
                <w:lang w:val="en-US" w:eastAsia="zh-CN"/>
              </w:rPr>
              <w:t>严格分类收集。对血液透析产生的一切废弃物，工作人员必须进行随手严格分类处理，防止二次污染。科室严格区分标识，定点放置。黑色污物袋用于装生活垃圾。黄色污物袋用于装医疗废弃物。要求污物袋坚韧耐用，不漏水。一次性预充注射器、输液器针头、一次性穿刺针、刀片等锐器放入利器盒。每日由专人收集、登记并进行统一运送，确保安全有效处理。</w:t>
            </w:r>
          </w:p>
          <w:p w14:paraId="05109AE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4" w:lineRule="exact"/>
              <w:ind w:left="0" w:right="0" w:firstLine="420" w:firstLineChars="200"/>
              <w:jc w:val="left"/>
              <w:textAlignment w:val="auto"/>
              <w:rPr>
                <w:rFonts w:hint="eastAsia"/>
                <w:color w:val="auto"/>
                <w:szCs w:val="21"/>
                <w:lang w:val="en-US" w:eastAsia="zh-CN"/>
              </w:rPr>
            </w:pPr>
            <w:r>
              <w:rPr>
                <w:rFonts w:hint="eastAsia"/>
                <w:color w:val="auto"/>
                <w:szCs w:val="21"/>
                <w:lang w:val="en-US" w:eastAsia="zh-CN"/>
              </w:rPr>
              <w:t>所有废弃物都应丢弃或放入标有相应颜色的污物袋内。污物袋应每日定时收集集中，由专人负责及时密封袋口，贴上“医疗废弃物”标识，放入密闭的转运器中。</w:t>
            </w:r>
          </w:p>
          <w:p w14:paraId="2EA3A88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4" w:lineRule="exact"/>
              <w:ind w:left="0" w:right="0" w:firstLine="420" w:firstLineChars="200"/>
              <w:jc w:val="left"/>
              <w:textAlignment w:val="auto"/>
              <w:rPr>
                <w:rFonts w:hint="eastAsia"/>
                <w:color w:val="auto"/>
                <w:szCs w:val="21"/>
                <w:lang w:val="en-US" w:eastAsia="zh-CN"/>
              </w:rPr>
            </w:pPr>
            <w:r>
              <w:rPr>
                <w:rFonts w:hint="eastAsia"/>
                <w:color w:val="auto"/>
                <w:szCs w:val="21"/>
                <w:lang w:val="en-US" w:eastAsia="zh-CN"/>
              </w:rPr>
              <w:t>血液透析室产生的一次性透析器、灌流器、一次性血管回路等放入黄色垃圾袋内，用双层密封处理，及时收集、登记、送往医废间。</w:t>
            </w:r>
          </w:p>
          <w:p w14:paraId="11D6AA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4" w:lineRule="exact"/>
              <w:ind w:left="0" w:right="0" w:firstLine="420" w:firstLineChars="200"/>
              <w:jc w:val="left"/>
              <w:textAlignment w:val="auto"/>
              <w:rPr>
                <w:rFonts w:hint="default"/>
                <w:color w:val="auto"/>
                <w:szCs w:val="21"/>
                <w:lang w:val="en-US" w:eastAsia="zh-CN"/>
              </w:rPr>
            </w:pPr>
            <w:r>
              <w:rPr>
                <w:rFonts w:hint="eastAsia"/>
                <w:color w:val="auto"/>
                <w:szCs w:val="21"/>
                <w:lang w:val="en-US" w:eastAsia="zh-CN"/>
              </w:rPr>
              <w:t>通过采取上述处置措施，能够确保项目营运期各类固体废物得到妥善处置，不会造成二次污染。</w:t>
            </w:r>
          </w:p>
          <w:p w14:paraId="6E0073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4" w:lineRule="exact"/>
              <w:ind w:left="0" w:right="0"/>
              <w:jc w:val="left"/>
              <w:textAlignment w:val="auto"/>
              <w:rPr>
                <w:rFonts w:hint="default" w:eastAsia="黑体"/>
                <w:color w:val="auto"/>
                <w:kern w:val="0"/>
              </w:rPr>
            </w:pPr>
            <w:r>
              <w:rPr>
                <w:rFonts w:hint="default" w:eastAsia="黑体"/>
                <w:color w:val="auto"/>
                <w:kern w:val="0"/>
              </w:rPr>
              <w:t>5</w:t>
            </w:r>
            <w:r>
              <w:rPr>
                <w:rFonts w:hint="default" w:ascii="黑体" w:hAnsi="黑体" w:eastAsia="黑体"/>
                <w:color w:val="auto"/>
                <w:kern w:val="0"/>
              </w:rPr>
              <w:t>、地下水、土壤</w:t>
            </w:r>
          </w:p>
          <w:p w14:paraId="3494E3D0">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color w:val="auto"/>
              </w:rPr>
            </w:pPr>
            <w:r>
              <w:rPr>
                <w:rFonts w:hint="default" w:ascii="宋体" w:hAnsi="宋体"/>
                <w:color w:val="auto"/>
              </w:rPr>
              <w:t>本项目废水均经管网排放，正常情况下项目附近的浅层地下水、土壤不会受到污染。若废水或废液发生渗漏，污染物进入土壤表层，不会很快穿过包气带进入浅层地下水，对浅层地下水的污染很小。评价建议采取的相应措施：</w:t>
            </w:r>
          </w:p>
          <w:p w14:paraId="28C45A14">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ascii="宋体" w:hAnsi="宋体"/>
                <w:color w:val="auto"/>
              </w:rPr>
            </w:pPr>
            <w:r>
              <w:rPr>
                <w:rFonts w:hint="default" w:ascii="宋体" w:hAnsi="宋体"/>
                <w:color w:val="auto"/>
              </w:rPr>
              <w:t>医院应设置专门的环境管理人员，建立环保管理制度，从源头削减污染物排放量，降低风险事故发生概率。院内污水管网做好防渗工作，减少跑冒滴漏现象的产生。</w:t>
            </w:r>
          </w:p>
          <w:p w14:paraId="05C3D262">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ascii="宋体" w:hAnsi="宋体" w:eastAsia="宋体"/>
                <w:color w:val="auto"/>
                <w:lang w:val="en-US" w:eastAsia="zh-CN"/>
              </w:rPr>
            </w:pPr>
            <w:r>
              <w:rPr>
                <w:rFonts w:hint="eastAsia" w:ascii="宋体" w:hAnsi="宋体"/>
                <w:color w:val="auto"/>
              </w:rPr>
              <w:t>经调查，项目</w:t>
            </w:r>
            <w:r>
              <w:rPr>
                <w:rFonts w:hint="eastAsia" w:ascii="宋体" w:hAnsi="宋体"/>
                <w:color w:val="auto"/>
                <w:lang w:val="en-US" w:eastAsia="zh-CN"/>
              </w:rPr>
              <w:t>自建的</w:t>
            </w:r>
            <w:r>
              <w:rPr>
                <w:rFonts w:hint="eastAsia" w:ascii="宋体" w:hAnsi="宋体"/>
                <w:color w:val="auto"/>
              </w:rPr>
              <w:t>污水处理站和危废间在建设之初，已作为重点防渗区采取相应的防渗措施。</w:t>
            </w:r>
            <w:r>
              <w:rPr>
                <w:rFonts w:hint="default" w:ascii="宋体" w:hAnsi="宋体"/>
                <w:color w:val="auto"/>
              </w:rPr>
              <w:t>重点防渗区的防渗措施为：等效黏土防渗层（岩土层单独厚度）</w:t>
            </w:r>
            <w:r>
              <w:rPr>
                <w:rFonts w:hint="default"/>
                <w:color w:val="auto"/>
              </w:rPr>
              <w:t>Mb≥6.0m</w:t>
            </w:r>
            <w:r>
              <w:rPr>
                <w:rFonts w:hint="default" w:ascii="宋体" w:hAnsi="宋体"/>
                <w:color w:val="auto"/>
              </w:rPr>
              <w:t>，渗透系数</w:t>
            </w:r>
            <w:r>
              <w:rPr>
                <w:rFonts w:hint="default"/>
                <w:color w:val="auto"/>
              </w:rPr>
              <w:t>K≤1.0×10</w:t>
            </w:r>
            <w:r>
              <w:rPr>
                <w:rFonts w:hint="default"/>
                <w:color w:val="auto"/>
                <w:vertAlign w:val="superscript"/>
              </w:rPr>
              <w:t>-7</w:t>
            </w:r>
            <w:r>
              <w:rPr>
                <w:rFonts w:hint="default"/>
                <w:color w:val="auto"/>
              </w:rPr>
              <w:t>cm/s</w:t>
            </w:r>
            <w:r>
              <w:rPr>
                <w:rFonts w:hint="default" w:ascii="宋体" w:hAnsi="宋体"/>
                <w:color w:val="auto"/>
              </w:rPr>
              <w:t>；或参照</w:t>
            </w:r>
            <w:r>
              <w:rPr>
                <w:rFonts w:hint="default"/>
                <w:color w:val="auto"/>
              </w:rPr>
              <w:t>GB18598</w:t>
            </w:r>
            <w:r>
              <w:rPr>
                <w:rFonts w:hint="default" w:ascii="宋体" w:hAnsi="宋体"/>
                <w:color w:val="auto"/>
              </w:rPr>
              <w:t>执行。</w:t>
            </w:r>
            <w:r>
              <w:rPr>
                <w:rFonts w:hint="eastAsia" w:ascii="宋体" w:hAnsi="宋体"/>
                <w:color w:val="auto"/>
                <w:lang w:val="en-US" w:eastAsia="zh-CN"/>
              </w:rPr>
              <w:t>医疗用房其他区域设为一般防渗区。过道等处设为简单防渗区。</w:t>
            </w:r>
          </w:p>
          <w:p w14:paraId="3B9297D9">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color w:val="auto"/>
              </w:rPr>
            </w:pPr>
            <w:r>
              <w:rPr>
                <w:rFonts w:hint="default" w:ascii="宋体" w:hAnsi="宋体"/>
                <w:color w:val="auto"/>
              </w:rPr>
              <w:t>评价认为，只要建设单位严格落实各项措施，项目不会对周围地下水、土壤环境造成不利影响。</w:t>
            </w:r>
          </w:p>
          <w:p w14:paraId="6082C17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404" w:lineRule="exact"/>
              <w:ind w:left="0" w:right="0"/>
              <w:jc w:val="left"/>
              <w:textAlignment w:val="auto"/>
              <w:rPr>
                <w:rFonts w:hint="default" w:eastAsia="黑体" w:cs="宋体"/>
                <w:color w:val="auto"/>
                <w:kern w:val="0"/>
                <w:szCs w:val="21"/>
              </w:rPr>
            </w:pPr>
            <w:r>
              <w:rPr>
                <w:rFonts w:hint="eastAsia" w:eastAsia="黑体" w:cs="宋体"/>
                <w:color w:val="auto"/>
                <w:kern w:val="0"/>
                <w:szCs w:val="21"/>
              </w:rPr>
              <w:t>6</w:t>
            </w:r>
            <w:r>
              <w:rPr>
                <w:rFonts w:hint="default" w:eastAsia="黑体" w:cs="宋体"/>
                <w:color w:val="auto"/>
                <w:kern w:val="0"/>
                <w:szCs w:val="21"/>
              </w:rPr>
              <w:t>、环境风险分析</w:t>
            </w:r>
          </w:p>
          <w:p w14:paraId="0FC3078F">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color w:val="auto"/>
                <w:szCs w:val="21"/>
              </w:rPr>
            </w:pPr>
            <w:r>
              <w:rPr>
                <w:rFonts w:hint="eastAsia"/>
                <w:color w:val="auto"/>
                <w:szCs w:val="21"/>
              </w:rPr>
              <w:t>（1）危险物质</w:t>
            </w:r>
          </w:p>
          <w:p w14:paraId="749F0E2E">
            <w:pPr>
              <w:keepNext w:val="0"/>
              <w:keepLines w:val="0"/>
              <w:pageBreakBefore w:val="0"/>
              <w:widowControl w:val="0"/>
              <w:suppressLineNumbers w:val="0"/>
              <w:kinsoku/>
              <w:wordWrap/>
              <w:overflowPunct/>
              <w:topLinePunct w:val="0"/>
              <w:bidi w:val="0"/>
              <w:spacing w:before="0" w:beforeAutospacing="0" w:after="0" w:afterAutospacing="0" w:line="404" w:lineRule="exact"/>
              <w:ind w:left="0" w:right="0" w:firstLine="420" w:firstLineChars="200"/>
              <w:textAlignment w:val="auto"/>
              <w:rPr>
                <w:rFonts w:hint="default"/>
                <w:color w:val="auto"/>
                <w:szCs w:val="21"/>
              </w:rPr>
            </w:pPr>
            <w:r>
              <w:rPr>
                <w:rFonts w:hint="default"/>
                <w:color w:val="auto"/>
                <w:szCs w:val="21"/>
              </w:rPr>
              <w:t>本项目使用</w:t>
            </w:r>
            <w:r>
              <w:rPr>
                <w:rFonts w:hint="eastAsia"/>
                <w:color w:val="auto"/>
                <w:szCs w:val="21"/>
                <w:lang w:eastAsia="zh-CN"/>
              </w:rPr>
              <w:t>消毒剂</w:t>
            </w:r>
            <w:bookmarkStart w:id="9" w:name="_GoBack"/>
            <w:bookmarkEnd w:id="9"/>
            <w:r>
              <w:rPr>
                <w:rFonts w:hint="default"/>
                <w:color w:val="auto"/>
                <w:szCs w:val="21"/>
              </w:rPr>
              <w:t>种类主要有戊二醛、2%过氧乙酸、75%酒精、95%酒精、碘伏消毒液、甲醛等，其中主要危险物料特性及判定见下表。</w:t>
            </w:r>
          </w:p>
          <w:p w14:paraId="0136AFCF">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4-15</w:t>
            </w:r>
            <w:r>
              <w:rPr>
                <w:rFonts w:hint="default" w:eastAsia="黑体"/>
                <w:color w:val="auto"/>
                <w:sz w:val="18"/>
                <w:szCs w:val="18"/>
              </w:rPr>
              <w:t xml:space="preserve">     项目主要危险物料特性表</w:t>
            </w:r>
          </w:p>
          <w:tbl>
            <w:tblPr>
              <w:tblStyle w:val="13"/>
              <w:tblW w:w="78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570"/>
              <w:gridCol w:w="1273"/>
              <w:gridCol w:w="1587"/>
              <w:gridCol w:w="1548"/>
              <w:gridCol w:w="2431"/>
            </w:tblGrid>
            <w:tr w14:paraId="1C17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 w:hRule="atLeast"/>
                <w:tblHeader/>
                <w:jc w:val="center"/>
              </w:trPr>
              <w:tc>
                <w:tcPr>
                  <w:tcW w:w="475" w:type="dxa"/>
                  <w:tcMar>
                    <w:left w:w="142" w:type="dxa"/>
                    <w:right w:w="142" w:type="dxa"/>
                  </w:tcMar>
                  <w:vAlign w:val="center"/>
                </w:tcPr>
                <w:p w14:paraId="75306AD1">
                  <w:pPr>
                    <w:keepNext w:val="0"/>
                    <w:keepLines w:val="0"/>
                    <w:suppressLineNumbers w:val="0"/>
                    <w:snapToGrid w:val="0"/>
                    <w:spacing w:before="0" w:beforeAutospacing="0" w:after="0" w:afterAutospacing="0" w:line="360" w:lineRule="exact"/>
                    <w:ind w:left="-105" w:leftChars="-50" w:right="-105" w:rightChars="-50"/>
                    <w:jc w:val="center"/>
                    <w:rPr>
                      <w:rFonts w:hint="default"/>
                      <w:b/>
                      <w:color w:val="auto"/>
                      <w:sz w:val="18"/>
                      <w:szCs w:val="18"/>
                    </w:rPr>
                  </w:pPr>
                  <w:r>
                    <w:rPr>
                      <w:rFonts w:hint="default"/>
                      <w:b/>
                      <w:color w:val="auto"/>
                      <w:sz w:val="18"/>
                      <w:szCs w:val="18"/>
                    </w:rPr>
                    <w:t>名称</w:t>
                  </w:r>
                </w:p>
              </w:tc>
              <w:tc>
                <w:tcPr>
                  <w:tcW w:w="570" w:type="dxa"/>
                  <w:tcMar>
                    <w:left w:w="142" w:type="dxa"/>
                    <w:right w:w="142" w:type="dxa"/>
                  </w:tcMar>
                  <w:vAlign w:val="center"/>
                </w:tcPr>
                <w:p w14:paraId="5F0CFEE5">
                  <w:pPr>
                    <w:keepNext w:val="0"/>
                    <w:keepLines w:val="0"/>
                    <w:suppressLineNumbers w:val="0"/>
                    <w:snapToGrid w:val="0"/>
                    <w:spacing w:before="0" w:beforeAutospacing="0" w:after="0" w:afterAutospacing="0" w:line="360" w:lineRule="exact"/>
                    <w:ind w:left="-105" w:leftChars="-50" w:right="-105" w:rightChars="-50"/>
                    <w:jc w:val="center"/>
                    <w:rPr>
                      <w:rFonts w:hint="default"/>
                      <w:b/>
                      <w:color w:val="auto"/>
                      <w:sz w:val="18"/>
                      <w:szCs w:val="18"/>
                    </w:rPr>
                  </w:pPr>
                  <w:r>
                    <w:rPr>
                      <w:rFonts w:hint="default"/>
                      <w:b/>
                      <w:color w:val="auto"/>
                      <w:sz w:val="18"/>
                      <w:szCs w:val="18"/>
                    </w:rPr>
                    <w:t>用途</w:t>
                  </w:r>
                </w:p>
              </w:tc>
              <w:tc>
                <w:tcPr>
                  <w:tcW w:w="1273" w:type="dxa"/>
                  <w:tcMar>
                    <w:left w:w="142" w:type="dxa"/>
                    <w:right w:w="142" w:type="dxa"/>
                  </w:tcMar>
                  <w:vAlign w:val="center"/>
                </w:tcPr>
                <w:p w14:paraId="315E7D98">
                  <w:pPr>
                    <w:keepNext w:val="0"/>
                    <w:keepLines w:val="0"/>
                    <w:suppressLineNumbers w:val="0"/>
                    <w:snapToGrid w:val="0"/>
                    <w:spacing w:before="0" w:beforeAutospacing="0" w:after="0" w:afterAutospacing="0" w:line="360" w:lineRule="exact"/>
                    <w:ind w:left="-105" w:leftChars="-50" w:right="-105" w:rightChars="-50"/>
                    <w:jc w:val="center"/>
                    <w:rPr>
                      <w:rFonts w:hint="default"/>
                      <w:b/>
                      <w:color w:val="auto"/>
                      <w:sz w:val="18"/>
                      <w:szCs w:val="18"/>
                    </w:rPr>
                  </w:pPr>
                  <w:r>
                    <w:rPr>
                      <w:rFonts w:hint="default"/>
                      <w:b/>
                      <w:color w:val="auto"/>
                      <w:sz w:val="18"/>
                      <w:szCs w:val="18"/>
                    </w:rPr>
                    <w:t>理化特性</w:t>
                  </w:r>
                </w:p>
              </w:tc>
              <w:tc>
                <w:tcPr>
                  <w:tcW w:w="1587" w:type="dxa"/>
                  <w:tcMar>
                    <w:left w:w="142" w:type="dxa"/>
                    <w:right w:w="142" w:type="dxa"/>
                  </w:tcMar>
                  <w:vAlign w:val="center"/>
                </w:tcPr>
                <w:p w14:paraId="4183F883">
                  <w:pPr>
                    <w:keepNext w:val="0"/>
                    <w:keepLines w:val="0"/>
                    <w:suppressLineNumbers w:val="0"/>
                    <w:snapToGrid w:val="0"/>
                    <w:spacing w:before="0" w:beforeAutospacing="0" w:after="0" w:afterAutospacing="0" w:line="360" w:lineRule="exact"/>
                    <w:ind w:left="-105" w:leftChars="-50" w:right="-105" w:rightChars="-50"/>
                    <w:jc w:val="center"/>
                    <w:rPr>
                      <w:rFonts w:hint="default"/>
                      <w:b/>
                      <w:color w:val="auto"/>
                      <w:sz w:val="18"/>
                      <w:szCs w:val="18"/>
                    </w:rPr>
                  </w:pPr>
                  <w:r>
                    <w:rPr>
                      <w:rFonts w:hint="default"/>
                      <w:b/>
                      <w:color w:val="auto"/>
                      <w:sz w:val="18"/>
                      <w:szCs w:val="18"/>
                    </w:rPr>
                    <w:t>危害特性</w:t>
                  </w:r>
                </w:p>
              </w:tc>
              <w:tc>
                <w:tcPr>
                  <w:tcW w:w="1548" w:type="dxa"/>
                  <w:tcMar>
                    <w:left w:w="142" w:type="dxa"/>
                    <w:right w:w="142" w:type="dxa"/>
                  </w:tcMar>
                  <w:vAlign w:val="center"/>
                </w:tcPr>
                <w:p w14:paraId="5FDBDEFF">
                  <w:pPr>
                    <w:keepNext w:val="0"/>
                    <w:keepLines w:val="0"/>
                    <w:suppressLineNumbers w:val="0"/>
                    <w:snapToGrid w:val="0"/>
                    <w:spacing w:before="0" w:beforeAutospacing="0" w:after="0" w:afterAutospacing="0" w:line="360" w:lineRule="exact"/>
                    <w:ind w:left="-105" w:leftChars="-50" w:right="-105" w:rightChars="-50"/>
                    <w:jc w:val="center"/>
                    <w:rPr>
                      <w:rFonts w:hint="default"/>
                      <w:b/>
                      <w:color w:val="auto"/>
                      <w:sz w:val="18"/>
                      <w:szCs w:val="18"/>
                    </w:rPr>
                  </w:pPr>
                  <w:r>
                    <w:rPr>
                      <w:rFonts w:hint="default"/>
                      <w:b/>
                      <w:color w:val="auto"/>
                      <w:sz w:val="18"/>
                      <w:szCs w:val="18"/>
                    </w:rPr>
                    <w:t>燃烧危险性</w:t>
                  </w:r>
                </w:p>
              </w:tc>
              <w:tc>
                <w:tcPr>
                  <w:tcW w:w="2431" w:type="dxa"/>
                  <w:tcMar>
                    <w:left w:w="142" w:type="dxa"/>
                    <w:right w:w="142" w:type="dxa"/>
                  </w:tcMar>
                  <w:vAlign w:val="center"/>
                </w:tcPr>
                <w:p w14:paraId="2342981D">
                  <w:pPr>
                    <w:pStyle w:val="38"/>
                    <w:keepNext w:val="0"/>
                    <w:keepLines w:val="0"/>
                    <w:suppressLineNumbers w:val="0"/>
                    <w:snapToGrid w:val="0"/>
                    <w:spacing w:before="0" w:beforeAutospacing="0" w:after="0" w:afterAutospacing="0" w:line="360" w:lineRule="exact"/>
                    <w:ind w:left="-105" w:leftChars="-50" w:right="-105" w:rightChars="-50"/>
                    <w:rPr>
                      <w:rFonts w:hint="default" w:eastAsia="宋体"/>
                      <w:b/>
                      <w:color w:val="auto"/>
                      <w:spacing w:val="0"/>
                      <w:sz w:val="18"/>
                      <w:szCs w:val="18"/>
                    </w:rPr>
                  </w:pPr>
                  <w:r>
                    <w:rPr>
                      <w:rFonts w:hint="default" w:eastAsia="宋体"/>
                      <w:b/>
                      <w:color w:val="auto"/>
                      <w:spacing w:val="0"/>
                      <w:sz w:val="18"/>
                      <w:szCs w:val="18"/>
                    </w:rPr>
                    <w:t>毒物危害程度分级</w:t>
                  </w:r>
                </w:p>
              </w:tc>
            </w:tr>
            <w:tr w14:paraId="2ABE2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blHeader/>
                <w:jc w:val="center"/>
              </w:trPr>
              <w:tc>
                <w:tcPr>
                  <w:tcW w:w="475" w:type="dxa"/>
                  <w:tcMar>
                    <w:left w:w="142" w:type="dxa"/>
                    <w:right w:w="142" w:type="dxa"/>
                  </w:tcMar>
                  <w:vAlign w:val="center"/>
                </w:tcPr>
                <w:p w14:paraId="65D52D2A">
                  <w:pPr>
                    <w:keepNext w:val="0"/>
                    <w:keepLines w:val="0"/>
                    <w:suppressLineNumbers w:val="0"/>
                    <w:snapToGrid w:val="0"/>
                    <w:spacing w:before="0" w:beforeAutospacing="0" w:after="0" w:afterAutospacing="0" w:line="240" w:lineRule="exact"/>
                    <w:ind w:left="-105" w:leftChars="-50" w:right="-105" w:rightChars="-50"/>
                    <w:jc w:val="center"/>
                    <w:rPr>
                      <w:rFonts w:hint="default"/>
                      <w:color w:val="auto"/>
                      <w:sz w:val="18"/>
                      <w:szCs w:val="18"/>
                    </w:rPr>
                  </w:pPr>
                  <w:r>
                    <w:rPr>
                      <w:rFonts w:hint="default"/>
                      <w:color w:val="auto"/>
                      <w:sz w:val="18"/>
                      <w:szCs w:val="18"/>
                    </w:rPr>
                    <w:t>甲醛</w:t>
                  </w:r>
                </w:p>
              </w:tc>
              <w:tc>
                <w:tcPr>
                  <w:tcW w:w="570" w:type="dxa"/>
                  <w:tcMar>
                    <w:left w:w="142" w:type="dxa"/>
                    <w:right w:w="142" w:type="dxa"/>
                  </w:tcMar>
                  <w:vAlign w:val="center"/>
                </w:tcPr>
                <w:p w14:paraId="34A66A9C">
                  <w:pPr>
                    <w:keepNext w:val="0"/>
                    <w:keepLines w:val="0"/>
                    <w:suppressLineNumbers w:val="0"/>
                    <w:snapToGrid w:val="0"/>
                    <w:spacing w:before="0" w:beforeAutospacing="0" w:after="0" w:afterAutospacing="0" w:line="240" w:lineRule="exact"/>
                    <w:ind w:left="-105" w:leftChars="-50" w:right="-105" w:rightChars="-50"/>
                    <w:jc w:val="center"/>
                    <w:rPr>
                      <w:rFonts w:hint="default"/>
                      <w:color w:val="auto"/>
                      <w:sz w:val="18"/>
                      <w:szCs w:val="18"/>
                    </w:rPr>
                  </w:pPr>
                  <w:r>
                    <w:rPr>
                      <w:rFonts w:hint="default"/>
                      <w:color w:val="auto"/>
                      <w:sz w:val="18"/>
                      <w:szCs w:val="18"/>
                    </w:rPr>
                    <w:t>消毒</w:t>
                  </w:r>
                </w:p>
              </w:tc>
              <w:tc>
                <w:tcPr>
                  <w:tcW w:w="1273" w:type="dxa"/>
                  <w:tcMar>
                    <w:left w:w="142" w:type="dxa"/>
                    <w:right w:w="142" w:type="dxa"/>
                  </w:tcMar>
                  <w:vAlign w:val="center"/>
                </w:tcPr>
                <w:p w14:paraId="576EEC3E">
                  <w:pPr>
                    <w:keepNext w:val="0"/>
                    <w:keepLines w:val="0"/>
                    <w:suppressLineNumbers w:val="0"/>
                    <w:snapToGrid w:val="0"/>
                    <w:spacing w:before="0" w:beforeAutospacing="0" w:after="0" w:afterAutospacing="0" w:line="240" w:lineRule="exact"/>
                    <w:ind w:left="-105" w:leftChars="-50" w:right="-105" w:rightChars="-50"/>
                    <w:rPr>
                      <w:rFonts w:hint="default"/>
                      <w:color w:val="auto"/>
                      <w:sz w:val="18"/>
                      <w:szCs w:val="18"/>
                    </w:rPr>
                  </w:pPr>
                  <w:r>
                    <w:rPr>
                      <w:rFonts w:hint="default"/>
                      <w:color w:val="auto"/>
                      <w:sz w:val="18"/>
                      <w:szCs w:val="18"/>
                    </w:rPr>
                    <w:t>无色，具有刺激性和窒息性的气体，商品为其水溶液；易溶于水，溶于乙醇等多数有机溶剂。</w:t>
                  </w:r>
                </w:p>
              </w:tc>
              <w:tc>
                <w:tcPr>
                  <w:tcW w:w="1587" w:type="dxa"/>
                  <w:tcMar>
                    <w:left w:w="142" w:type="dxa"/>
                    <w:right w:w="142" w:type="dxa"/>
                  </w:tcMar>
                  <w:vAlign w:val="center"/>
                </w:tcPr>
                <w:p w14:paraId="7A0CDA39">
                  <w:pPr>
                    <w:keepNext w:val="0"/>
                    <w:keepLines w:val="0"/>
                    <w:suppressLineNumbers w:val="0"/>
                    <w:snapToGrid w:val="0"/>
                    <w:spacing w:before="0" w:beforeAutospacing="0" w:after="0" w:afterAutospacing="0" w:line="240" w:lineRule="exact"/>
                    <w:ind w:left="-105" w:leftChars="-50" w:right="-105" w:rightChars="-50"/>
                    <w:rPr>
                      <w:rFonts w:hint="default"/>
                      <w:color w:val="auto"/>
                      <w:sz w:val="18"/>
                      <w:szCs w:val="18"/>
                    </w:rPr>
                  </w:pPr>
                  <w:r>
                    <w:rPr>
                      <w:rFonts w:hint="default"/>
                      <w:color w:val="auto"/>
                      <w:sz w:val="18"/>
                      <w:szCs w:val="18"/>
                    </w:rPr>
                    <w:t>侵入途径：吸入、食入、经皮吸收。健康危害：本品对黏膜、上呼吸道、眼睛和皮肤有强烈刺激性。</w:t>
                  </w:r>
                </w:p>
              </w:tc>
              <w:tc>
                <w:tcPr>
                  <w:tcW w:w="1548" w:type="dxa"/>
                  <w:tcMar>
                    <w:left w:w="142" w:type="dxa"/>
                    <w:right w:w="142" w:type="dxa"/>
                  </w:tcMar>
                  <w:vAlign w:val="center"/>
                </w:tcPr>
                <w:p w14:paraId="3D4A046F">
                  <w:pPr>
                    <w:keepNext w:val="0"/>
                    <w:keepLines w:val="0"/>
                    <w:suppressLineNumbers w:val="0"/>
                    <w:snapToGrid w:val="0"/>
                    <w:spacing w:before="0" w:beforeAutospacing="0" w:after="0" w:afterAutospacing="0" w:line="240" w:lineRule="exact"/>
                    <w:ind w:left="-105" w:leftChars="-50" w:right="-105" w:rightChars="-50"/>
                    <w:jc w:val="left"/>
                    <w:rPr>
                      <w:rFonts w:hint="default"/>
                      <w:color w:val="auto"/>
                      <w:sz w:val="18"/>
                      <w:szCs w:val="18"/>
                    </w:rPr>
                  </w:pPr>
                  <w:r>
                    <w:rPr>
                      <w:rFonts w:hint="default"/>
                      <w:color w:val="auto"/>
                      <w:sz w:val="18"/>
                      <w:szCs w:val="18"/>
                    </w:rPr>
                    <w:t>其蒸气与空气形成爆炸性混合物，遇明火、高热能引起燃烧爆炸。若遇高热，容器内压增大，有开裂和爆炸的危险。</w:t>
                  </w:r>
                </w:p>
              </w:tc>
              <w:tc>
                <w:tcPr>
                  <w:tcW w:w="2431" w:type="dxa"/>
                  <w:tcMar>
                    <w:left w:w="142" w:type="dxa"/>
                    <w:right w:w="142" w:type="dxa"/>
                  </w:tcMar>
                  <w:vAlign w:val="center"/>
                </w:tcPr>
                <w:p w14:paraId="0B10AEAC">
                  <w:pPr>
                    <w:keepNext w:val="0"/>
                    <w:keepLines w:val="0"/>
                    <w:suppressLineNumbers w:val="0"/>
                    <w:snapToGrid w:val="0"/>
                    <w:spacing w:before="0" w:beforeAutospacing="0" w:after="0" w:afterAutospacing="0" w:line="240" w:lineRule="exact"/>
                    <w:ind w:left="-105" w:leftChars="-50" w:right="-105" w:rightChars="-50"/>
                    <w:jc w:val="left"/>
                    <w:rPr>
                      <w:rFonts w:hint="default"/>
                      <w:color w:val="auto"/>
                      <w:sz w:val="18"/>
                      <w:szCs w:val="18"/>
                    </w:rPr>
                  </w:pPr>
                  <w:r>
                    <w:rPr>
                      <w:rFonts w:hint="default"/>
                      <w:color w:val="auto"/>
                      <w:sz w:val="18"/>
                      <w:szCs w:val="18"/>
                    </w:rPr>
                    <w:t>LD</w:t>
                  </w:r>
                  <w:r>
                    <w:rPr>
                      <w:rFonts w:hint="default"/>
                      <w:color w:val="auto"/>
                      <w:sz w:val="18"/>
                      <w:szCs w:val="18"/>
                      <w:vertAlign w:val="subscript"/>
                    </w:rPr>
                    <w:t>50</w:t>
                  </w:r>
                  <w:r>
                    <w:rPr>
                      <w:rFonts w:hint="default"/>
                      <w:color w:val="auto"/>
                      <w:sz w:val="18"/>
                      <w:szCs w:val="18"/>
                    </w:rPr>
                    <w:t>800mg/kg(大鼠经口)，2700mg/kg(兔经皮)；LC</w:t>
                  </w:r>
                  <w:r>
                    <w:rPr>
                      <w:rFonts w:hint="default"/>
                      <w:color w:val="auto"/>
                      <w:sz w:val="18"/>
                      <w:szCs w:val="18"/>
                      <w:vertAlign w:val="subscript"/>
                    </w:rPr>
                    <w:t>50</w:t>
                  </w:r>
                  <w:r>
                    <w:rPr>
                      <w:rFonts w:hint="default"/>
                      <w:color w:val="auto"/>
                      <w:sz w:val="18"/>
                      <w:szCs w:val="18"/>
                    </w:rPr>
                    <w:t>590mg/m</w:t>
                  </w:r>
                  <w:r>
                    <w:rPr>
                      <w:rFonts w:hint="default"/>
                      <w:color w:val="auto"/>
                      <w:sz w:val="18"/>
                      <w:szCs w:val="18"/>
                      <w:vertAlign w:val="superscript"/>
                    </w:rPr>
                    <w:t>3</w:t>
                  </w:r>
                  <w:r>
                    <w:rPr>
                      <w:rFonts w:hint="default"/>
                      <w:color w:val="auto"/>
                      <w:sz w:val="18"/>
                      <w:szCs w:val="18"/>
                    </w:rPr>
                    <w:t>(大鼠吸入)；</w:t>
                  </w:r>
                </w:p>
                <w:p w14:paraId="2AC4E237">
                  <w:pPr>
                    <w:keepNext w:val="0"/>
                    <w:keepLines w:val="0"/>
                    <w:suppressLineNumbers w:val="0"/>
                    <w:snapToGrid w:val="0"/>
                    <w:spacing w:before="0" w:beforeAutospacing="0" w:after="0" w:afterAutospacing="0" w:line="240" w:lineRule="exact"/>
                    <w:ind w:left="-105" w:leftChars="-50" w:right="-105" w:rightChars="-50"/>
                    <w:jc w:val="left"/>
                    <w:rPr>
                      <w:rFonts w:hint="default"/>
                      <w:color w:val="auto"/>
                      <w:sz w:val="18"/>
                      <w:szCs w:val="18"/>
                    </w:rPr>
                  </w:pPr>
                  <w:r>
                    <w:rPr>
                      <w:rFonts w:hint="default"/>
                      <w:color w:val="auto"/>
                      <w:sz w:val="18"/>
                      <w:szCs w:val="18"/>
                    </w:rPr>
                    <w:t>人吸入60～120mg/m</w:t>
                  </w:r>
                  <w:r>
                    <w:rPr>
                      <w:rFonts w:hint="default"/>
                      <w:color w:val="auto"/>
                      <w:sz w:val="18"/>
                      <w:szCs w:val="18"/>
                      <w:vertAlign w:val="superscript"/>
                    </w:rPr>
                    <w:t>3</w:t>
                  </w:r>
                  <w:r>
                    <w:rPr>
                      <w:rFonts w:hint="default"/>
                      <w:color w:val="auto"/>
                      <w:sz w:val="18"/>
                      <w:szCs w:val="18"/>
                    </w:rPr>
                    <w:t>，发生支气管炎、肺部严重损害；人吸入12～24mg/m</w:t>
                  </w:r>
                  <w:r>
                    <w:rPr>
                      <w:rFonts w:hint="default"/>
                      <w:color w:val="auto"/>
                      <w:sz w:val="18"/>
                      <w:szCs w:val="18"/>
                      <w:vertAlign w:val="superscript"/>
                    </w:rPr>
                    <w:t>3</w:t>
                  </w:r>
                  <w:r>
                    <w:rPr>
                      <w:rFonts w:hint="default"/>
                      <w:color w:val="auto"/>
                      <w:sz w:val="18"/>
                      <w:szCs w:val="18"/>
                    </w:rPr>
                    <w:t>，鼻、咽</w:t>
                  </w:r>
                  <w:r>
                    <w:rPr>
                      <w:rFonts w:hint="eastAsia"/>
                      <w:color w:val="auto"/>
                      <w:sz w:val="18"/>
                      <w:szCs w:val="18"/>
                    </w:rPr>
                    <w:t>黏膜</w:t>
                  </w:r>
                  <w:r>
                    <w:rPr>
                      <w:rFonts w:hint="default"/>
                      <w:color w:val="auto"/>
                      <w:sz w:val="18"/>
                      <w:szCs w:val="18"/>
                    </w:rPr>
                    <w:t>严重灼务、流泪、咳嗽；人经口10～20mL，致死。</w:t>
                  </w:r>
                </w:p>
              </w:tc>
            </w:tr>
            <w:tr w14:paraId="66F23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blHeader/>
                <w:jc w:val="center"/>
              </w:trPr>
              <w:tc>
                <w:tcPr>
                  <w:tcW w:w="475" w:type="dxa"/>
                  <w:tcMar>
                    <w:left w:w="142" w:type="dxa"/>
                    <w:right w:w="142" w:type="dxa"/>
                  </w:tcMar>
                  <w:vAlign w:val="center"/>
                </w:tcPr>
                <w:p w14:paraId="60F1B833">
                  <w:pPr>
                    <w:keepNext w:val="0"/>
                    <w:keepLines w:val="0"/>
                    <w:suppressLineNumbers w:val="0"/>
                    <w:snapToGrid w:val="0"/>
                    <w:spacing w:before="0" w:beforeAutospacing="0" w:after="0" w:afterAutospacing="0" w:line="240" w:lineRule="exact"/>
                    <w:ind w:left="-105" w:leftChars="-50" w:right="-105" w:rightChars="-50"/>
                    <w:jc w:val="center"/>
                    <w:rPr>
                      <w:rFonts w:hint="default"/>
                      <w:color w:val="auto"/>
                      <w:sz w:val="18"/>
                      <w:szCs w:val="18"/>
                    </w:rPr>
                  </w:pPr>
                  <w:r>
                    <w:rPr>
                      <w:rFonts w:hint="default"/>
                      <w:color w:val="auto"/>
                      <w:sz w:val="18"/>
                      <w:szCs w:val="18"/>
                    </w:rPr>
                    <w:t>乙醇</w:t>
                  </w:r>
                </w:p>
              </w:tc>
              <w:tc>
                <w:tcPr>
                  <w:tcW w:w="570" w:type="dxa"/>
                  <w:tcMar>
                    <w:left w:w="142" w:type="dxa"/>
                    <w:right w:w="142" w:type="dxa"/>
                  </w:tcMar>
                  <w:vAlign w:val="center"/>
                </w:tcPr>
                <w:p w14:paraId="6D734CDD">
                  <w:pPr>
                    <w:keepNext w:val="0"/>
                    <w:keepLines w:val="0"/>
                    <w:suppressLineNumbers w:val="0"/>
                    <w:snapToGrid w:val="0"/>
                    <w:spacing w:before="0" w:beforeAutospacing="0" w:after="0" w:afterAutospacing="0" w:line="240" w:lineRule="exact"/>
                    <w:ind w:left="-105" w:leftChars="-50" w:right="-105" w:rightChars="-50"/>
                    <w:jc w:val="center"/>
                    <w:rPr>
                      <w:rFonts w:hint="default"/>
                      <w:color w:val="auto"/>
                      <w:sz w:val="18"/>
                      <w:szCs w:val="18"/>
                    </w:rPr>
                  </w:pPr>
                  <w:r>
                    <w:rPr>
                      <w:rFonts w:hint="default"/>
                      <w:color w:val="auto"/>
                      <w:sz w:val="18"/>
                      <w:szCs w:val="18"/>
                    </w:rPr>
                    <w:t>消毒</w:t>
                  </w:r>
                </w:p>
              </w:tc>
              <w:tc>
                <w:tcPr>
                  <w:tcW w:w="1273" w:type="dxa"/>
                  <w:tcMar>
                    <w:left w:w="142" w:type="dxa"/>
                    <w:right w:w="142" w:type="dxa"/>
                  </w:tcMar>
                  <w:vAlign w:val="center"/>
                </w:tcPr>
                <w:p w14:paraId="01C418BB">
                  <w:pPr>
                    <w:keepNext w:val="0"/>
                    <w:keepLines w:val="0"/>
                    <w:suppressLineNumbers w:val="0"/>
                    <w:snapToGrid w:val="0"/>
                    <w:spacing w:before="0" w:beforeAutospacing="0" w:after="0" w:afterAutospacing="0" w:line="240" w:lineRule="exact"/>
                    <w:ind w:left="-105" w:leftChars="-50" w:right="-105" w:rightChars="-50"/>
                    <w:rPr>
                      <w:rFonts w:hint="default"/>
                      <w:color w:val="auto"/>
                      <w:sz w:val="18"/>
                      <w:szCs w:val="18"/>
                    </w:rPr>
                  </w:pPr>
                  <w:r>
                    <w:rPr>
                      <w:rFonts w:hint="default"/>
                      <w:color w:val="auto"/>
                      <w:sz w:val="18"/>
                      <w:szCs w:val="18"/>
                    </w:rPr>
                    <w:t>无色液体，有酒香；与水混溶，可混溶于醚、氯仿、甘油等多数有机溶剂；用于制酒工业、有机合成、消毒以用作溶剂。</w:t>
                  </w:r>
                </w:p>
              </w:tc>
              <w:tc>
                <w:tcPr>
                  <w:tcW w:w="1587" w:type="dxa"/>
                  <w:tcMar>
                    <w:left w:w="142" w:type="dxa"/>
                    <w:right w:w="142" w:type="dxa"/>
                  </w:tcMar>
                  <w:vAlign w:val="center"/>
                </w:tcPr>
                <w:p w14:paraId="431AD933">
                  <w:pPr>
                    <w:keepNext w:val="0"/>
                    <w:keepLines w:val="0"/>
                    <w:suppressLineNumbers w:val="0"/>
                    <w:snapToGrid w:val="0"/>
                    <w:spacing w:before="0" w:beforeAutospacing="0" w:after="0" w:afterAutospacing="0" w:line="240" w:lineRule="exact"/>
                    <w:ind w:left="-105" w:leftChars="-50" w:right="-105" w:rightChars="-50"/>
                    <w:rPr>
                      <w:rFonts w:hint="default"/>
                      <w:color w:val="auto"/>
                      <w:sz w:val="18"/>
                      <w:szCs w:val="18"/>
                    </w:rPr>
                  </w:pPr>
                  <w:r>
                    <w:rPr>
                      <w:rFonts w:hint="default"/>
                      <w:color w:val="auto"/>
                      <w:sz w:val="18"/>
                      <w:szCs w:val="18"/>
                    </w:rPr>
                    <w:t> 侵入途径：吸入、食入、经皮吸收。健康危害：本品为中枢神经系统抑制剂。首先引起兴奋，随后抑制。急性中毒：急性中毒多发生于口服。</w:t>
                  </w:r>
                </w:p>
              </w:tc>
              <w:tc>
                <w:tcPr>
                  <w:tcW w:w="1548" w:type="dxa"/>
                  <w:tcMar>
                    <w:left w:w="142" w:type="dxa"/>
                    <w:right w:w="142" w:type="dxa"/>
                  </w:tcMar>
                  <w:vAlign w:val="center"/>
                </w:tcPr>
                <w:p w14:paraId="5B0A0BC7">
                  <w:pPr>
                    <w:keepNext w:val="0"/>
                    <w:keepLines w:val="0"/>
                    <w:suppressLineNumbers w:val="0"/>
                    <w:snapToGrid w:val="0"/>
                    <w:spacing w:before="0" w:beforeAutospacing="0" w:after="0" w:afterAutospacing="0" w:line="240" w:lineRule="exact"/>
                    <w:ind w:left="-105" w:leftChars="-50" w:right="-105" w:rightChars="-50"/>
                    <w:jc w:val="left"/>
                    <w:rPr>
                      <w:rFonts w:hint="default"/>
                      <w:color w:val="auto"/>
                      <w:sz w:val="18"/>
                      <w:szCs w:val="18"/>
                    </w:rPr>
                  </w:pPr>
                  <w:r>
                    <w:rPr>
                      <w:rFonts w:hint="default"/>
                      <w:color w:val="auto"/>
                      <w:sz w:val="18"/>
                      <w:szCs w:val="18"/>
                    </w:rPr>
                    <w:t>易燃，其蒸气与空气可形成爆炸性混合物。遇明火、高热能引起燃烧爆炸。与氧化剂接触发生化学反应或引起燃烧。</w:t>
                  </w:r>
                </w:p>
              </w:tc>
              <w:tc>
                <w:tcPr>
                  <w:tcW w:w="2431" w:type="dxa"/>
                  <w:tcMar>
                    <w:left w:w="142" w:type="dxa"/>
                    <w:right w:w="142" w:type="dxa"/>
                  </w:tcMar>
                  <w:vAlign w:val="center"/>
                </w:tcPr>
                <w:p w14:paraId="2A1BA8A5">
                  <w:pPr>
                    <w:keepNext w:val="0"/>
                    <w:keepLines w:val="0"/>
                    <w:suppressLineNumbers w:val="0"/>
                    <w:snapToGrid w:val="0"/>
                    <w:spacing w:before="0" w:beforeAutospacing="0" w:after="0" w:afterAutospacing="0" w:line="240" w:lineRule="exact"/>
                    <w:ind w:left="-105" w:leftChars="-50" w:right="-105" w:rightChars="-50"/>
                    <w:rPr>
                      <w:rFonts w:hint="default"/>
                      <w:color w:val="auto"/>
                      <w:sz w:val="18"/>
                      <w:szCs w:val="18"/>
                    </w:rPr>
                  </w:pPr>
                  <w:r>
                    <w:rPr>
                      <w:rFonts w:hint="default"/>
                      <w:color w:val="auto"/>
                      <w:sz w:val="18"/>
                      <w:szCs w:val="18"/>
                    </w:rPr>
                    <w:t>毒性：属微毒类。</w:t>
                  </w:r>
                </w:p>
                <w:p w14:paraId="1FCFB662">
                  <w:pPr>
                    <w:keepNext w:val="0"/>
                    <w:keepLines w:val="0"/>
                    <w:suppressLineNumbers w:val="0"/>
                    <w:snapToGrid w:val="0"/>
                    <w:spacing w:before="0" w:beforeAutospacing="0" w:after="0" w:afterAutospacing="0" w:line="240" w:lineRule="exact"/>
                    <w:ind w:left="-105" w:leftChars="-50" w:right="-105" w:rightChars="-50"/>
                    <w:rPr>
                      <w:rFonts w:hint="default"/>
                      <w:color w:val="auto"/>
                      <w:sz w:val="18"/>
                      <w:szCs w:val="18"/>
                    </w:rPr>
                  </w:pPr>
                  <w:r>
                    <w:rPr>
                      <w:rFonts w:hint="default"/>
                      <w:color w:val="auto"/>
                      <w:sz w:val="18"/>
                      <w:szCs w:val="18"/>
                    </w:rPr>
                    <w:t>急性毒性：LD507060mg/kg</w:t>
                  </w:r>
                </w:p>
                <w:p w14:paraId="2D1D8C21">
                  <w:pPr>
                    <w:keepNext w:val="0"/>
                    <w:keepLines w:val="0"/>
                    <w:suppressLineNumbers w:val="0"/>
                    <w:snapToGrid w:val="0"/>
                    <w:spacing w:before="0" w:beforeAutospacing="0" w:after="0" w:afterAutospacing="0" w:line="240" w:lineRule="exact"/>
                    <w:ind w:left="-105" w:leftChars="-50" w:right="-105" w:rightChars="-50"/>
                    <w:rPr>
                      <w:rFonts w:hint="default"/>
                      <w:color w:val="auto"/>
                      <w:sz w:val="18"/>
                      <w:szCs w:val="18"/>
                    </w:rPr>
                  </w:pPr>
                  <w:r>
                    <w:rPr>
                      <w:rFonts w:hint="default"/>
                      <w:color w:val="auto"/>
                      <w:sz w:val="18"/>
                      <w:szCs w:val="18"/>
                    </w:rPr>
                    <w:t>(兔经口)；7340mg/kg(兔经皮)；LC5037620mg/m</w:t>
                  </w:r>
                  <w:r>
                    <w:rPr>
                      <w:rFonts w:hint="default"/>
                      <w:color w:val="auto"/>
                      <w:sz w:val="18"/>
                      <w:szCs w:val="18"/>
                      <w:vertAlign w:val="superscript"/>
                    </w:rPr>
                    <w:t>3</w:t>
                  </w:r>
                  <w:r>
                    <w:rPr>
                      <w:rFonts w:hint="default"/>
                      <w:color w:val="auto"/>
                      <w:sz w:val="18"/>
                      <w:szCs w:val="18"/>
                    </w:rPr>
                    <w:t>，10小时(大鼠吸入)；人吸入4.3mg/L×50分钟，头面部发热，四肢发凉，头痛；人吸入2.6mg/L×39分钟，头痛，无后作用。</w:t>
                  </w:r>
                </w:p>
              </w:tc>
            </w:tr>
            <w:tr w14:paraId="390B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tblHeader/>
                <w:jc w:val="center"/>
              </w:trPr>
              <w:tc>
                <w:tcPr>
                  <w:tcW w:w="475" w:type="dxa"/>
                  <w:tcMar>
                    <w:left w:w="142" w:type="dxa"/>
                    <w:right w:w="142" w:type="dxa"/>
                  </w:tcMar>
                  <w:vAlign w:val="center"/>
                </w:tcPr>
                <w:p w14:paraId="64FB8628">
                  <w:pPr>
                    <w:keepNext w:val="0"/>
                    <w:keepLines w:val="0"/>
                    <w:suppressLineNumbers w:val="0"/>
                    <w:snapToGrid w:val="0"/>
                    <w:spacing w:before="0" w:beforeAutospacing="0" w:after="0" w:afterAutospacing="0" w:line="210" w:lineRule="exact"/>
                    <w:ind w:left="-105" w:leftChars="-50" w:right="-105" w:rightChars="-50"/>
                    <w:jc w:val="center"/>
                    <w:rPr>
                      <w:rFonts w:hint="default"/>
                      <w:color w:val="auto"/>
                      <w:sz w:val="18"/>
                      <w:szCs w:val="18"/>
                    </w:rPr>
                  </w:pPr>
                  <w:r>
                    <w:rPr>
                      <w:rFonts w:hint="default"/>
                      <w:color w:val="auto"/>
                      <w:sz w:val="18"/>
                      <w:szCs w:val="18"/>
                    </w:rPr>
                    <w:t>过氧乙酸</w:t>
                  </w:r>
                </w:p>
              </w:tc>
              <w:tc>
                <w:tcPr>
                  <w:tcW w:w="570" w:type="dxa"/>
                  <w:tcMar>
                    <w:left w:w="142" w:type="dxa"/>
                    <w:right w:w="142" w:type="dxa"/>
                  </w:tcMar>
                  <w:vAlign w:val="center"/>
                </w:tcPr>
                <w:p w14:paraId="534CAC2F">
                  <w:pPr>
                    <w:keepNext w:val="0"/>
                    <w:keepLines w:val="0"/>
                    <w:suppressLineNumbers w:val="0"/>
                    <w:snapToGrid w:val="0"/>
                    <w:spacing w:before="0" w:beforeAutospacing="0" w:after="0" w:afterAutospacing="0" w:line="240" w:lineRule="exact"/>
                    <w:ind w:left="-105" w:leftChars="-50" w:right="-105" w:rightChars="-50"/>
                    <w:jc w:val="center"/>
                    <w:rPr>
                      <w:rFonts w:hint="default"/>
                      <w:color w:val="auto"/>
                      <w:sz w:val="18"/>
                      <w:szCs w:val="18"/>
                    </w:rPr>
                  </w:pPr>
                  <w:r>
                    <w:rPr>
                      <w:rFonts w:hint="default"/>
                      <w:color w:val="auto"/>
                      <w:sz w:val="18"/>
                      <w:szCs w:val="18"/>
                    </w:rPr>
                    <w:t>消毒</w:t>
                  </w:r>
                </w:p>
              </w:tc>
              <w:tc>
                <w:tcPr>
                  <w:tcW w:w="1273" w:type="dxa"/>
                  <w:tcMar>
                    <w:left w:w="142" w:type="dxa"/>
                    <w:right w:w="142" w:type="dxa"/>
                  </w:tcMar>
                  <w:vAlign w:val="center"/>
                </w:tcPr>
                <w:p w14:paraId="6A210BED">
                  <w:pPr>
                    <w:keepNext w:val="0"/>
                    <w:keepLines w:val="0"/>
                    <w:suppressLineNumbers w:val="0"/>
                    <w:snapToGrid w:val="0"/>
                    <w:spacing w:before="0" w:beforeAutospacing="0" w:after="0" w:afterAutospacing="0" w:line="240" w:lineRule="exact"/>
                    <w:ind w:left="-105" w:leftChars="-50" w:right="-105" w:rightChars="-50"/>
                    <w:rPr>
                      <w:rFonts w:hint="default"/>
                      <w:color w:val="auto"/>
                      <w:sz w:val="18"/>
                      <w:szCs w:val="18"/>
                    </w:rPr>
                  </w:pPr>
                  <w:r>
                    <w:rPr>
                      <w:rFonts w:hint="default"/>
                      <w:color w:val="auto"/>
                      <w:sz w:val="18"/>
                      <w:szCs w:val="18"/>
                    </w:rPr>
                    <w:t>无色液体，具有强烈刺激性气味，一般商品为35%的醋酸稀释溶液；溶于水，溶于乙醇、乙醚、硫酸。</w:t>
                  </w:r>
                </w:p>
              </w:tc>
              <w:tc>
                <w:tcPr>
                  <w:tcW w:w="1587" w:type="dxa"/>
                  <w:tcMar>
                    <w:left w:w="142" w:type="dxa"/>
                    <w:right w:w="142" w:type="dxa"/>
                  </w:tcMar>
                  <w:vAlign w:val="center"/>
                </w:tcPr>
                <w:p w14:paraId="2D290A2C">
                  <w:pPr>
                    <w:keepNext w:val="0"/>
                    <w:keepLines w:val="0"/>
                    <w:suppressLineNumbers w:val="0"/>
                    <w:snapToGrid w:val="0"/>
                    <w:spacing w:before="0" w:beforeAutospacing="0" w:after="0" w:afterAutospacing="0" w:line="240" w:lineRule="exact"/>
                    <w:ind w:left="-105" w:leftChars="-50" w:right="-105" w:rightChars="-50"/>
                    <w:rPr>
                      <w:rFonts w:hint="default"/>
                      <w:color w:val="auto"/>
                      <w:sz w:val="18"/>
                      <w:szCs w:val="18"/>
                    </w:rPr>
                  </w:pPr>
                  <w:r>
                    <w:rPr>
                      <w:rFonts w:hint="default"/>
                      <w:color w:val="auto"/>
                      <w:sz w:val="18"/>
                      <w:szCs w:val="18"/>
                    </w:rPr>
                    <w:t>侵入途径：吸入、食入、以皮吸收。健康危害：本品对眼睛、皮肤、黏膜和上呼吸道有强烈刺激作用。吸入后可引起喉、支气管的炎症、水肿、痉挛及化学性肺炎、肺水肿。</w:t>
                  </w:r>
                </w:p>
              </w:tc>
              <w:tc>
                <w:tcPr>
                  <w:tcW w:w="1548" w:type="dxa"/>
                  <w:tcMar>
                    <w:left w:w="142" w:type="dxa"/>
                    <w:right w:w="142" w:type="dxa"/>
                  </w:tcMar>
                  <w:vAlign w:val="center"/>
                </w:tcPr>
                <w:p w14:paraId="6A332D56">
                  <w:pPr>
                    <w:keepNext w:val="0"/>
                    <w:keepLines w:val="0"/>
                    <w:suppressLineNumbers w:val="0"/>
                    <w:snapToGrid w:val="0"/>
                    <w:spacing w:before="0" w:beforeAutospacing="0" w:after="0" w:afterAutospacing="0" w:line="240" w:lineRule="exact"/>
                    <w:ind w:left="-105" w:leftChars="-50" w:right="-105" w:rightChars="-50"/>
                    <w:jc w:val="left"/>
                    <w:rPr>
                      <w:rFonts w:hint="default"/>
                      <w:color w:val="auto"/>
                      <w:sz w:val="18"/>
                      <w:szCs w:val="18"/>
                    </w:rPr>
                  </w:pPr>
                  <w:r>
                    <w:rPr>
                      <w:rFonts w:hint="default"/>
                      <w:color w:val="auto"/>
                      <w:sz w:val="18"/>
                      <w:szCs w:val="18"/>
                    </w:rPr>
                    <w:t>危险特性：易燃，加热至100℃时即猛烈分解，遇火或受热、受震都可起爆。与还原剂、促进剂、有机物、可燃物等接触剧烈反应，有燃烧爆炸的危险。</w:t>
                  </w:r>
                </w:p>
              </w:tc>
              <w:tc>
                <w:tcPr>
                  <w:tcW w:w="2431" w:type="dxa"/>
                  <w:tcMar>
                    <w:left w:w="142" w:type="dxa"/>
                    <w:right w:w="142" w:type="dxa"/>
                  </w:tcMar>
                  <w:vAlign w:val="center"/>
                </w:tcPr>
                <w:p w14:paraId="59F8A5DD">
                  <w:pPr>
                    <w:keepNext w:val="0"/>
                    <w:keepLines w:val="0"/>
                    <w:suppressLineNumbers w:val="0"/>
                    <w:snapToGrid w:val="0"/>
                    <w:spacing w:before="0" w:beforeAutospacing="0" w:after="0" w:afterAutospacing="0" w:line="240" w:lineRule="exact"/>
                    <w:ind w:left="-105" w:leftChars="-50" w:right="-105" w:rightChars="-50"/>
                    <w:rPr>
                      <w:rFonts w:hint="default"/>
                      <w:color w:val="auto"/>
                      <w:sz w:val="18"/>
                      <w:szCs w:val="18"/>
                    </w:rPr>
                  </w:pPr>
                  <w:r>
                    <w:rPr>
                      <w:rFonts w:hint="default"/>
                      <w:color w:val="auto"/>
                      <w:sz w:val="18"/>
                      <w:szCs w:val="18"/>
                    </w:rPr>
                    <w:t>急性毒性：是皮肤和眼的腐蚀剂。LD</w:t>
                  </w:r>
                  <w:r>
                    <w:rPr>
                      <w:rFonts w:hint="default"/>
                      <w:color w:val="auto"/>
                      <w:sz w:val="18"/>
                      <w:szCs w:val="18"/>
                      <w:vertAlign w:val="subscript"/>
                    </w:rPr>
                    <w:t>50</w:t>
                  </w:r>
                  <w:r>
                    <w:rPr>
                      <w:rFonts w:hint="default"/>
                      <w:color w:val="auto"/>
                      <w:sz w:val="18"/>
                      <w:szCs w:val="18"/>
                    </w:rPr>
                    <w:t>1540mg/kg(大鼠经口)；1410mg/kg(兔经皮)；LC</w:t>
                  </w:r>
                  <w:r>
                    <w:rPr>
                      <w:rFonts w:hint="default"/>
                      <w:color w:val="auto"/>
                      <w:sz w:val="18"/>
                      <w:szCs w:val="18"/>
                      <w:vertAlign w:val="subscript"/>
                    </w:rPr>
                    <w:t>50</w:t>
                  </w:r>
                  <w:r>
                    <w:rPr>
                      <w:rFonts w:hint="default"/>
                      <w:color w:val="auto"/>
                      <w:sz w:val="18"/>
                      <w:szCs w:val="18"/>
                    </w:rPr>
                    <w:t>450mg/m</w:t>
                  </w:r>
                  <w:r>
                    <w:rPr>
                      <w:rFonts w:hint="default"/>
                      <w:color w:val="auto"/>
                      <w:sz w:val="18"/>
                      <w:szCs w:val="18"/>
                      <w:vertAlign w:val="superscript"/>
                    </w:rPr>
                    <w:t>3</w:t>
                  </w:r>
                  <w:r>
                    <w:rPr>
                      <w:rFonts w:hint="default"/>
                      <w:color w:val="auto"/>
                      <w:sz w:val="18"/>
                      <w:szCs w:val="18"/>
                    </w:rPr>
                    <w:t>(大鼠吸入)致癌性：小鼠经皮最低中</w:t>
                  </w:r>
                  <w:r>
                    <w:rPr>
                      <w:rFonts w:hint="eastAsia"/>
                      <w:color w:val="auto"/>
                      <w:sz w:val="18"/>
                      <w:szCs w:val="18"/>
                      <w:lang w:eastAsia="zh-CN"/>
                    </w:rPr>
                    <w:t>毒剂</w:t>
                  </w:r>
                  <w:r>
                    <w:rPr>
                      <w:rFonts w:hint="default"/>
                      <w:color w:val="auto"/>
                      <w:sz w:val="18"/>
                      <w:szCs w:val="18"/>
                    </w:rPr>
                    <w:t>量(TDL</w:t>
                  </w:r>
                  <w:r>
                    <w:rPr>
                      <w:rFonts w:hint="default"/>
                      <w:color w:val="auto"/>
                      <w:sz w:val="18"/>
                      <w:szCs w:val="18"/>
                      <w:vertAlign w:val="subscript"/>
                    </w:rPr>
                    <w:t>0</w:t>
                  </w:r>
                  <w:r>
                    <w:rPr>
                      <w:rFonts w:hint="default"/>
                      <w:color w:val="auto"/>
                      <w:sz w:val="18"/>
                      <w:szCs w:val="18"/>
                    </w:rPr>
                    <w:t>)：21g/kg(26周，间歇)，疑致肿瘤，致皮肤肿瘤。</w:t>
                  </w:r>
                </w:p>
              </w:tc>
            </w:tr>
          </w:tbl>
          <w:p w14:paraId="1B558648">
            <w:pPr>
              <w:keepNext w:val="0"/>
              <w:keepLines w:val="0"/>
              <w:suppressLineNumbers w:val="0"/>
              <w:spacing w:before="0" w:beforeAutospacing="0" w:after="0" w:afterAutospacing="0" w:line="400" w:lineRule="exact"/>
              <w:ind w:left="0" w:right="0"/>
              <w:jc w:val="center"/>
              <w:rPr>
                <w:rFonts w:hint="default" w:eastAsia="黑体"/>
                <w:color w:val="auto"/>
                <w:sz w:val="18"/>
                <w:szCs w:val="18"/>
              </w:rPr>
            </w:pPr>
            <w:r>
              <w:rPr>
                <w:rFonts w:hint="default" w:eastAsia="黑体"/>
                <w:color w:val="auto"/>
                <w:sz w:val="18"/>
                <w:szCs w:val="18"/>
              </w:rPr>
              <w:t>表</w:t>
            </w:r>
            <w:r>
              <w:rPr>
                <w:rFonts w:hint="eastAsia" w:eastAsia="黑体"/>
                <w:color w:val="auto"/>
                <w:sz w:val="18"/>
                <w:szCs w:val="18"/>
              </w:rPr>
              <w:t>4-16</w:t>
            </w:r>
            <w:r>
              <w:rPr>
                <w:rFonts w:hint="default" w:eastAsia="黑体"/>
                <w:color w:val="auto"/>
                <w:sz w:val="18"/>
                <w:szCs w:val="18"/>
              </w:rPr>
              <w:t xml:space="preserve">     危险物质名称及临界量</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0"/>
              <w:gridCol w:w="1439"/>
              <w:gridCol w:w="1276"/>
              <w:gridCol w:w="2788"/>
            </w:tblGrid>
            <w:tr w14:paraId="329B8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54" w:type="dxa"/>
                  <w:vAlign w:val="center"/>
                </w:tcPr>
                <w:p w14:paraId="53722C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color w:val="auto"/>
                      <w:sz w:val="18"/>
                      <w:szCs w:val="18"/>
                    </w:rPr>
                  </w:pPr>
                  <w:r>
                    <w:rPr>
                      <w:rFonts w:hint="default"/>
                      <w:b/>
                      <w:color w:val="auto"/>
                      <w:sz w:val="18"/>
                      <w:szCs w:val="18"/>
                    </w:rPr>
                    <w:t>序号</w:t>
                  </w:r>
                </w:p>
              </w:tc>
              <w:tc>
                <w:tcPr>
                  <w:tcW w:w="1420" w:type="dxa"/>
                  <w:vAlign w:val="center"/>
                </w:tcPr>
                <w:p w14:paraId="47B732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color w:val="auto"/>
                      <w:sz w:val="18"/>
                      <w:szCs w:val="18"/>
                    </w:rPr>
                  </w:pPr>
                  <w:r>
                    <w:rPr>
                      <w:rFonts w:hint="default"/>
                      <w:b/>
                      <w:color w:val="auto"/>
                      <w:sz w:val="18"/>
                      <w:szCs w:val="18"/>
                    </w:rPr>
                    <w:t>物质名称</w:t>
                  </w:r>
                </w:p>
              </w:tc>
              <w:tc>
                <w:tcPr>
                  <w:tcW w:w="1439" w:type="dxa"/>
                  <w:vAlign w:val="center"/>
                </w:tcPr>
                <w:p w14:paraId="23018F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color w:val="auto"/>
                      <w:sz w:val="18"/>
                      <w:szCs w:val="18"/>
                    </w:rPr>
                  </w:pPr>
                  <w:r>
                    <w:rPr>
                      <w:rFonts w:hint="default"/>
                      <w:b/>
                      <w:color w:val="auto"/>
                      <w:sz w:val="18"/>
                      <w:szCs w:val="18"/>
                    </w:rPr>
                    <w:t>临界量（t）</w:t>
                  </w:r>
                </w:p>
              </w:tc>
              <w:tc>
                <w:tcPr>
                  <w:tcW w:w="1276" w:type="dxa"/>
                  <w:vAlign w:val="center"/>
                </w:tcPr>
                <w:p w14:paraId="529D20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b/>
                      <w:color w:val="auto"/>
                      <w:sz w:val="18"/>
                      <w:szCs w:val="18"/>
                    </w:rPr>
                  </w:pPr>
                  <w:r>
                    <w:rPr>
                      <w:rFonts w:hint="default"/>
                      <w:b/>
                      <w:color w:val="auto"/>
                      <w:sz w:val="18"/>
                      <w:szCs w:val="18"/>
                    </w:rPr>
                    <w:t>本项目（t）</w:t>
                  </w:r>
                </w:p>
              </w:tc>
              <w:tc>
                <w:tcPr>
                  <w:tcW w:w="2788" w:type="dxa"/>
                  <w:vAlign w:val="center"/>
                </w:tcPr>
                <w:p w14:paraId="15F6DC71">
                  <w:pPr>
                    <w:pStyle w:val="10"/>
                    <w:keepNext w:val="0"/>
                    <w:keepLines w:val="0"/>
                    <w:pageBreakBefore w:val="0"/>
                    <w:widowControl w:val="0"/>
                    <w:suppressLineNumbers w:val="0"/>
                    <w:pBdr>
                      <w:bottom w:val="none" w:color="auto" w:sz="0" w:space="0"/>
                    </w:pBdr>
                    <w:tabs>
                      <w:tab w:val="clear" w:pos="4153"/>
                      <w:tab w:val="clear" w:pos="8306"/>
                    </w:tabs>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Times New Roman" w:hAnsi="Times New Roman"/>
                      <w:b/>
                      <w:color w:val="auto"/>
                    </w:rPr>
                  </w:pPr>
                  <w:r>
                    <w:rPr>
                      <w:rFonts w:hint="default" w:ascii="Times New Roman" w:hAnsi="Times New Roman"/>
                      <w:b/>
                      <w:color w:val="auto"/>
                    </w:rPr>
                    <w:t>是否构成重大危险源</w:t>
                  </w:r>
                </w:p>
              </w:tc>
            </w:tr>
            <w:tr w14:paraId="4213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54" w:type="dxa"/>
                  <w:vAlign w:val="center"/>
                </w:tcPr>
                <w:p w14:paraId="05F6B3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1</w:t>
                  </w:r>
                </w:p>
              </w:tc>
              <w:tc>
                <w:tcPr>
                  <w:tcW w:w="1420" w:type="dxa"/>
                  <w:vAlign w:val="center"/>
                </w:tcPr>
                <w:p w14:paraId="618154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甲醛</w:t>
                  </w:r>
                </w:p>
              </w:tc>
              <w:tc>
                <w:tcPr>
                  <w:tcW w:w="1439" w:type="dxa"/>
                  <w:vAlign w:val="center"/>
                </w:tcPr>
                <w:p w14:paraId="566CFC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0.5</w:t>
                  </w:r>
                </w:p>
              </w:tc>
              <w:tc>
                <w:tcPr>
                  <w:tcW w:w="1276" w:type="dxa"/>
                  <w:vAlign w:val="center"/>
                </w:tcPr>
                <w:p w14:paraId="1369A9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w:t>
                  </w:r>
                  <w:r>
                    <w:rPr>
                      <w:rFonts w:hint="eastAsia"/>
                      <w:color w:val="auto"/>
                      <w:sz w:val="18"/>
                      <w:szCs w:val="18"/>
                    </w:rPr>
                    <w:t>0.04</w:t>
                  </w:r>
                </w:p>
              </w:tc>
              <w:tc>
                <w:tcPr>
                  <w:tcW w:w="2788" w:type="dxa"/>
                  <w:vAlign w:val="center"/>
                </w:tcPr>
                <w:p w14:paraId="1B0751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否</w:t>
                  </w:r>
                </w:p>
              </w:tc>
            </w:tr>
            <w:tr w14:paraId="57752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854" w:type="dxa"/>
                  <w:vAlign w:val="center"/>
                </w:tcPr>
                <w:p w14:paraId="00FABD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2</w:t>
                  </w:r>
                </w:p>
              </w:tc>
              <w:tc>
                <w:tcPr>
                  <w:tcW w:w="1420" w:type="dxa"/>
                  <w:vAlign w:val="center"/>
                </w:tcPr>
                <w:p w14:paraId="23AA5F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过氧乙酸</w:t>
                  </w:r>
                </w:p>
              </w:tc>
              <w:tc>
                <w:tcPr>
                  <w:tcW w:w="1439" w:type="dxa"/>
                  <w:vAlign w:val="center"/>
                </w:tcPr>
                <w:p w14:paraId="472BD4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18"/>
                      <w:szCs w:val="18"/>
                    </w:rPr>
                  </w:pPr>
                  <w:r>
                    <w:rPr>
                      <w:rFonts w:hint="eastAsia"/>
                      <w:color w:val="auto"/>
                      <w:sz w:val="18"/>
                      <w:szCs w:val="18"/>
                    </w:rPr>
                    <w:t>5</w:t>
                  </w:r>
                </w:p>
              </w:tc>
              <w:tc>
                <w:tcPr>
                  <w:tcW w:w="1276" w:type="dxa"/>
                  <w:vAlign w:val="center"/>
                </w:tcPr>
                <w:p w14:paraId="60A26F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w:t>
                  </w:r>
                  <w:r>
                    <w:rPr>
                      <w:rFonts w:hint="eastAsia"/>
                      <w:color w:val="auto"/>
                      <w:sz w:val="18"/>
                      <w:szCs w:val="18"/>
                    </w:rPr>
                    <w:t>0.06</w:t>
                  </w:r>
                </w:p>
              </w:tc>
              <w:tc>
                <w:tcPr>
                  <w:tcW w:w="2788" w:type="dxa"/>
                  <w:vAlign w:val="center"/>
                </w:tcPr>
                <w:p w14:paraId="2F5C32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color w:val="auto"/>
                      <w:sz w:val="18"/>
                      <w:szCs w:val="18"/>
                    </w:rPr>
                  </w:pPr>
                  <w:r>
                    <w:rPr>
                      <w:rFonts w:hint="default"/>
                      <w:color w:val="auto"/>
                      <w:sz w:val="18"/>
                      <w:szCs w:val="18"/>
                    </w:rPr>
                    <w:t>否</w:t>
                  </w:r>
                </w:p>
              </w:tc>
            </w:tr>
          </w:tbl>
          <w:p w14:paraId="4ED5A4E3">
            <w:pPr>
              <w:keepNext w:val="0"/>
              <w:keepLines w:val="0"/>
              <w:suppressLineNumbers w:val="0"/>
              <w:spacing w:before="0" w:beforeAutospacing="0" w:after="0" w:afterAutospacing="0" w:line="380" w:lineRule="exact"/>
              <w:ind w:left="0" w:right="0" w:firstLine="420" w:firstLineChars="200"/>
              <w:rPr>
                <w:rFonts w:hint="default"/>
                <w:color w:val="auto"/>
                <w:szCs w:val="21"/>
              </w:rPr>
            </w:pPr>
            <w:r>
              <w:rPr>
                <w:rFonts w:hint="default"/>
                <w:color w:val="auto"/>
                <w:szCs w:val="21"/>
              </w:rPr>
              <w:t>本项目使用的各种药品生产场所及贮存场所的最大量均远小于临界量，因此以上危险物质不构成重大危险源。</w:t>
            </w:r>
          </w:p>
          <w:p w14:paraId="61EE999B">
            <w:pPr>
              <w:keepNext w:val="0"/>
              <w:keepLines w:val="0"/>
              <w:suppressLineNumbers w:val="0"/>
              <w:spacing w:before="0" w:beforeAutospacing="0" w:after="0" w:afterAutospacing="0" w:line="380" w:lineRule="exact"/>
              <w:ind w:left="0" w:right="0" w:firstLine="420" w:firstLineChars="200"/>
              <w:rPr>
                <w:rFonts w:hint="default"/>
                <w:color w:val="auto"/>
                <w:szCs w:val="21"/>
              </w:rPr>
            </w:pPr>
            <w:r>
              <w:rPr>
                <w:rFonts w:hint="eastAsia"/>
                <w:color w:val="auto"/>
                <w:szCs w:val="21"/>
              </w:rPr>
              <w:t>（2）风险源分布及影响途径</w:t>
            </w:r>
          </w:p>
          <w:p w14:paraId="7BD1AF88">
            <w:pPr>
              <w:keepNext w:val="0"/>
              <w:keepLines w:val="0"/>
              <w:suppressLineNumbers w:val="0"/>
              <w:spacing w:before="0" w:beforeAutospacing="0" w:after="0" w:afterAutospacing="0" w:line="380" w:lineRule="exact"/>
              <w:ind w:left="0" w:right="0" w:firstLine="420" w:firstLineChars="200"/>
              <w:rPr>
                <w:rFonts w:hint="default"/>
                <w:color w:val="auto"/>
                <w:szCs w:val="21"/>
              </w:rPr>
            </w:pPr>
            <w:r>
              <w:rPr>
                <w:rFonts w:hint="eastAsia"/>
                <w:color w:val="auto"/>
                <w:szCs w:val="21"/>
              </w:rPr>
              <w:t>本项目为医院项目，营运期涉及的主要环境风险物质为各类危险化学品。根据《建设项目环境风险评价技术导则》（</w:t>
            </w:r>
            <w:r>
              <w:rPr>
                <w:rFonts w:hint="default"/>
                <w:color w:val="auto"/>
                <w:szCs w:val="21"/>
              </w:rPr>
              <w:t>HJ169-2018</w:t>
            </w:r>
            <w:r>
              <w:rPr>
                <w:rFonts w:hint="eastAsia"/>
                <w:color w:val="auto"/>
                <w:szCs w:val="21"/>
              </w:rPr>
              <w:t>），风险识别主要包括物质危险性识别、生产系统危险性识别和危险物质向环境转移的途径识别。</w:t>
            </w:r>
          </w:p>
          <w:p w14:paraId="3D52C0FD">
            <w:pPr>
              <w:keepNext w:val="0"/>
              <w:keepLines w:val="0"/>
              <w:suppressLineNumbers w:val="0"/>
              <w:spacing w:before="0" w:beforeAutospacing="0" w:after="0" w:afterAutospacing="0" w:line="380" w:lineRule="exact"/>
              <w:ind w:left="0" w:right="0" w:firstLine="420" w:firstLineChars="200"/>
              <w:rPr>
                <w:rFonts w:hint="default"/>
                <w:color w:val="auto"/>
                <w:szCs w:val="21"/>
              </w:rPr>
            </w:pPr>
            <w:r>
              <w:rPr>
                <w:rFonts w:hint="eastAsia"/>
                <w:color w:val="auto"/>
                <w:szCs w:val="21"/>
              </w:rPr>
              <w:t>①物质危险性识别</w:t>
            </w:r>
          </w:p>
          <w:p w14:paraId="2B0DB791">
            <w:pPr>
              <w:keepNext w:val="0"/>
              <w:keepLines w:val="0"/>
              <w:suppressLineNumbers w:val="0"/>
              <w:spacing w:before="0" w:beforeAutospacing="0" w:after="0" w:afterAutospacing="0" w:line="380" w:lineRule="exact"/>
              <w:ind w:left="0" w:right="0" w:firstLine="420" w:firstLineChars="200"/>
              <w:rPr>
                <w:rFonts w:hint="default"/>
                <w:color w:val="auto"/>
                <w:szCs w:val="21"/>
              </w:rPr>
            </w:pPr>
            <w:r>
              <w:rPr>
                <w:rFonts w:hint="eastAsia"/>
                <w:color w:val="auto"/>
                <w:szCs w:val="21"/>
              </w:rPr>
              <w:t>根据《建设项目环境风险评价技术导则》（</w:t>
            </w:r>
            <w:r>
              <w:rPr>
                <w:rFonts w:hint="default"/>
                <w:color w:val="auto"/>
                <w:szCs w:val="21"/>
              </w:rPr>
              <w:t>HJ169-2018</w:t>
            </w:r>
            <w:r>
              <w:rPr>
                <w:rFonts w:hint="eastAsia"/>
                <w:color w:val="auto"/>
                <w:szCs w:val="21"/>
              </w:rPr>
              <w:t>）附录</w:t>
            </w:r>
            <w:r>
              <w:rPr>
                <w:rFonts w:hint="default"/>
                <w:color w:val="auto"/>
                <w:szCs w:val="21"/>
              </w:rPr>
              <w:t>B</w:t>
            </w:r>
            <w:r>
              <w:rPr>
                <w:rFonts w:hint="eastAsia"/>
                <w:color w:val="auto"/>
                <w:szCs w:val="21"/>
              </w:rPr>
              <w:t>，本项目涉及附录表格中的危险物质主要是甲醇、过氧乙酸等。</w:t>
            </w:r>
          </w:p>
          <w:p w14:paraId="074A9921">
            <w:pPr>
              <w:keepNext w:val="0"/>
              <w:keepLines w:val="0"/>
              <w:suppressLineNumbers w:val="0"/>
              <w:spacing w:before="0" w:beforeAutospacing="0" w:after="0" w:afterAutospacing="0" w:line="380" w:lineRule="exact"/>
              <w:ind w:left="0" w:right="0" w:firstLine="420" w:firstLineChars="200"/>
              <w:rPr>
                <w:rFonts w:hint="default"/>
                <w:color w:val="auto"/>
                <w:szCs w:val="21"/>
              </w:rPr>
            </w:pPr>
            <w:r>
              <w:rPr>
                <w:rFonts w:hint="eastAsia"/>
                <w:color w:val="auto"/>
                <w:szCs w:val="21"/>
              </w:rPr>
              <w:t>②生产系统危险性识别</w:t>
            </w:r>
          </w:p>
          <w:p w14:paraId="640040C8">
            <w:pPr>
              <w:keepNext w:val="0"/>
              <w:keepLines w:val="0"/>
              <w:suppressLineNumbers w:val="0"/>
              <w:spacing w:before="0" w:beforeAutospacing="0" w:after="0" w:afterAutospacing="0" w:line="390" w:lineRule="exact"/>
              <w:ind w:left="0" w:right="0" w:firstLine="420" w:firstLineChars="200"/>
              <w:rPr>
                <w:rFonts w:hint="default"/>
                <w:color w:val="auto"/>
                <w:szCs w:val="21"/>
              </w:rPr>
            </w:pPr>
            <w:r>
              <w:rPr>
                <w:rFonts w:hint="default"/>
                <w:color w:val="auto"/>
                <w:szCs w:val="21"/>
              </w:rPr>
              <w:t>主要为</w:t>
            </w:r>
            <w:r>
              <w:rPr>
                <w:rFonts w:hint="eastAsia"/>
                <w:color w:val="auto"/>
                <w:szCs w:val="21"/>
              </w:rPr>
              <w:t>医疗废物收集和转运过程中产生的环境风险，化学品运输、储存、装卸、使用过程中产生的环境风险。</w:t>
            </w:r>
          </w:p>
          <w:p w14:paraId="34E72316">
            <w:pPr>
              <w:keepNext w:val="0"/>
              <w:keepLines w:val="0"/>
              <w:suppressLineNumbers w:val="0"/>
              <w:spacing w:before="0" w:beforeAutospacing="0" w:after="0" w:afterAutospacing="0" w:line="390" w:lineRule="exact"/>
              <w:ind w:left="0" w:right="0" w:firstLine="420" w:firstLineChars="200"/>
              <w:rPr>
                <w:rFonts w:hint="default"/>
                <w:color w:val="auto"/>
                <w:szCs w:val="21"/>
              </w:rPr>
            </w:pPr>
            <w:r>
              <w:rPr>
                <w:rFonts w:hint="eastAsia"/>
                <w:color w:val="auto"/>
                <w:szCs w:val="21"/>
              </w:rPr>
              <w:t>③危险物质向环境转移途径识别</w:t>
            </w:r>
          </w:p>
          <w:p w14:paraId="67A722B9">
            <w:pPr>
              <w:keepNext w:val="0"/>
              <w:keepLines w:val="0"/>
              <w:suppressLineNumbers w:val="0"/>
              <w:spacing w:before="0" w:beforeAutospacing="0" w:after="0" w:afterAutospacing="0" w:line="390" w:lineRule="exact"/>
              <w:ind w:left="0" w:right="0" w:firstLine="420" w:firstLineChars="200"/>
              <w:rPr>
                <w:rFonts w:hint="default"/>
                <w:color w:val="auto"/>
                <w:szCs w:val="21"/>
              </w:rPr>
            </w:pPr>
            <w:r>
              <w:rPr>
                <w:rFonts w:hint="eastAsia"/>
                <w:color w:val="auto"/>
                <w:szCs w:val="21"/>
              </w:rPr>
              <w:t>本项目危险物质主要是各类危险化学品，其向环境转移的途径主要是发生泄漏，接触人体或水环境和土壤等。</w:t>
            </w:r>
          </w:p>
          <w:p w14:paraId="14238408">
            <w:pPr>
              <w:keepNext w:val="0"/>
              <w:keepLines w:val="0"/>
              <w:suppressLineNumbers w:val="0"/>
              <w:spacing w:before="0" w:beforeAutospacing="0" w:after="0" w:afterAutospacing="0" w:line="390" w:lineRule="exact"/>
              <w:ind w:left="0" w:right="0" w:firstLine="420" w:firstLineChars="200"/>
              <w:rPr>
                <w:rFonts w:hint="default"/>
                <w:color w:val="auto"/>
                <w:szCs w:val="21"/>
              </w:rPr>
            </w:pPr>
            <w:r>
              <w:rPr>
                <w:rFonts w:hint="eastAsia"/>
                <w:color w:val="auto"/>
                <w:szCs w:val="21"/>
              </w:rPr>
              <w:t>（3）环境风险防范措施</w:t>
            </w:r>
          </w:p>
          <w:p w14:paraId="669B00A5">
            <w:pPr>
              <w:keepNext w:val="0"/>
              <w:keepLines w:val="0"/>
              <w:suppressLineNumbers w:val="0"/>
              <w:spacing w:before="0" w:beforeAutospacing="0" w:after="0" w:afterAutospacing="0" w:line="390" w:lineRule="exact"/>
              <w:ind w:left="0" w:right="0" w:firstLine="420" w:firstLineChars="200"/>
              <w:rPr>
                <w:rFonts w:hint="default"/>
                <w:color w:val="auto"/>
                <w:szCs w:val="21"/>
              </w:rPr>
            </w:pPr>
            <w:bookmarkStart w:id="5" w:name="_Toc242507256"/>
            <w:r>
              <w:rPr>
                <w:rFonts w:hint="eastAsia" w:cs="宋体"/>
                <w:color w:val="auto"/>
                <w:szCs w:val="21"/>
              </w:rPr>
              <w:t>①</w:t>
            </w:r>
            <w:r>
              <w:rPr>
                <w:rFonts w:hint="default"/>
                <w:color w:val="auto"/>
                <w:szCs w:val="21"/>
              </w:rPr>
              <w:t>总图布置和建筑安全措施</w:t>
            </w:r>
            <w:bookmarkEnd w:id="5"/>
          </w:p>
          <w:p w14:paraId="0EFF7A37">
            <w:pPr>
              <w:keepNext w:val="0"/>
              <w:keepLines w:val="0"/>
              <w:suppressLineNumbers w:val="0"/>
              <w:spacing w:before="0" w:beforeAutospacing="0" w:after="0" w:afterAutospacing="0" w:line="390" w:lineRule="exact"/>
              <w:ind w:left="0" w:right="0" w:firstLine="420" w:firstLineChars="200"/>
              <w:rPr>
                <w:rFonts w:hint="default"/>
                <w:color w:val="auto"/>
                <w:szCs w:val="21"/>
              </w:rPr>
            </w:pPr>
            <w:r>
              <w:rPr>
                <w:rFonts w:hint="default"/>
                <w:color w:val="auto"/>
                <w:szCs w:val="21"/>
              </w:rPr>
              <w:t>医院内应设有消防设施配置图、楼层平面布置图、排水管网分布图和气象资料、危险化学品安全技术说明书、互救信息等，并明确存放地点和保管人员。项目通风采用整体通风与局部排风相结合，避免造成有害病毒、细菌的聚集。</w:t>
            </w:r>
          </w:p>
          <w:p w14:paraId="23B0A597">
            <w:pPr>
              <w:keepNext w:val="0"/>
              <w:keepLines w:val="0"/>
              <w:suppressLineNumbers w:val="0"/>
              <w:spacing w:before="0" w:beforeAutospacing="0" w:after="0" w:afterAutospacing="0" w:line="390" w:lineRule="exact"/>
              <w:ind w:left="0" w:right="0" w:firstLine="420" w:firstLineChars="200"/>
              <w:rPr>
                <w:rFonts w:hint="default"/>
                <w:color w:val="auto"/>
                <w:szCs w:val="21"/>
              </w:rPr>
            </w:pPr>
            <w:bookmarkStart w:id="6" w:name="_Toc242507257"/>
            <w:r>
              <w:rPr>
                <w:rFonts w:hint="eastAsia" w:cs="宋体"/>
                <w:color w:val="auto"/>
                <w:szCs w:val="21"/>
              </w:rPr>
              <w:t>②</w:t>
            </w:r>
            <w:r>
              <w:rPr>
                <w:rFonts w:hint="default"/>
                <w:color w:val="auto"/>
                <w:szCs w:val="21"/>
              </w:rPr>
              <w:t>对传染病诊治的控制</w:t>
            </w:r>
            <w:bookmarkEnd w:id="6"/>
          </w:p>
          <w:p w14:paraId="6257F8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eastAsia"/>
                <w:color w:val="auto"/>
                <w:szCs w:val="21"/>
                <w:lang w:eastAsia="zh-CN"/>
              </w:rPr>
            </w:pPr>
            <w:r>
              <w:rPr>
                <w:rFonts w:hint="default"/>
                <w:color w:val="auto"/>
                <w:szCs w:val="21"/>
              </w:rPr>
              <w:t>该医院科室设置明确，不设传染科，不包括传染病的防治</w:t>
            </w:r>
            <w:r>
              <w:rPr>
                <w:rFonts w:hint="eastAsia"/>
                <w:color w:val="auto"/>
                <w:szCs w:val="21"/>
                <w:lang w:eastAsia="zh-CN"/>
              </w:rPr>
              <w:t>。</w:t>
            </w:r>
            <w:r>
              <w:rPr>
                <w:rFonts w:hint="default"/>
                <w:color w:val="auto"/>
                <w:szCs w:val="21"/>
              </w:rPr>
              <w:t>医院一旦发现有传染病人就诊，应明确告之传染病的防治不属于本院诊疗范围，劝其到其他医院就诊，并派专人陪同出院，以便防止其在医院内逗留，禁止该类病人与其他病人交谈、接触，缩小传染病病毒接触群体，严格控制传染病的对外蔓延，将传染对象降到最少。</w:t>
            </w:r>
          </w:p>
          <w:p w14:paraId="4D18E1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eastAsia"/>
                <w:color w:val="auto"/>
                <w:szCs w:val="21"/>
                <w:lang w:eastAsia="zh-CN"/>
              </w:rPr>
            </w:pPr>
            <w:r>
              <w:rPr>
                <w:rFonts w:hint="eastAsia"/>
                <w:color w:val="auto"/>
                <w:szCs w:val="21"/>
                <w:lang w:eastAsia="zh-CN"/>
              </w:rPr>
              <w:t>根据《血液净化标准操作规程》规定，传染病隔离透析治疗区（阳性、</w:t>
            </w:r>
            <w:r>
              <w:rPr>
                <w:rFonts w:hint="eastAsia"/>
                <w:color w:val="auto"/>
                <w:szCs w:val="21"/>
                <w:lang w:val="en-US" w:eastAsia="zh-CN"/>
              </w:rPr>
              <w:t>仅限乙肝患者</w:t>
            </w:r>
            <w:r>
              <w:rPr>
                <w:rFonts w:hint="eastAsia"/>
                <w:color w:val="auto"/>
                <w:szCs w:val="21"/>
                <w:lang w:eastAsia="zh-CN"/>
              </w:rPr>
              <w:t>）的护理人员相对固定，同一班次的护理人员不能交叉管理传染病隔离透析治疗区（阳性）和普通透析治疗室区（阴性）的透析患者；传染病隔离透析治疗区（阳性）的护理人员应加强防护，进行血管通路连接或断开操作时，应佩戴防护面罩和穿隔离服等。</w:t>
            </w:r>
          </w:p>
          <w:p w14:paraId="5D7618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cs="宋体"/>
                <w:color w:val="auto"/>
                <w:szCs w:val="21"/>
              </w:rPr>
              <w:t>③</w:t>
            </w:r>
            <w:r>
              <w:rPr>
                <w:rFonts w:hint="default"/>
                <w:color w:val="auto"/>
                <w:szCs w:val="21"/>
              </w:rPr>
              <w:t>医疗废物收集、贮存、运输、处理</w:t>
            </w:r>
          </w:p>
          <w:p w14:paraId="760DCA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default"/>
                <w:color w:val="auto"/>
                <w:szCs w:val="21"/>
              </w:rPr>
              <w:t>应当使用防渗漏、防抛洒的专用运送工具，按照本单位确定的内部医疗废物运送时间、路线，将医疗废物按规定要求转运和处理。</w:t>
            </w:r>
          </w:p>
          <w:p w14:paraId="0BB53C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default"/>
                <w:color w:val="auto"/>
                <w:szCs w:val="21"/>
              </w:rPr>
              <w:t>运送工具使用后应当在指定的地点及时消毒和清洁。</w:t>
            </w:r>
          </w:p>
          <w:p w14:paraId="337C01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default"/>
                <w:color w:val="auto"/>
                <w:szCs w:val="21"/>
              </w:rPr>
              <w:t>项目医疗废物中的药物性废物（如过期药品等）和化学性废物（如含重金属的废液、废弃的</w:t>
            </w:r>
            <w:r>
              <w:rPr>
                <w:rFonts w:hint="eastAsia"/>
                <w:color w:val="auto"/>
                <w:szCs w:val="21"/>
                <w:lang w:eastAsia="zh-CN"/>
              </w:rPr>
              <w:t>消毒剂</w:t>
            </w:r>
            <w:r>
              <w:rPr>
                <w:rFonts w:hint="default"/>
                <w:color w:val="auto"/>
                <w:szCs w:val="21"/>
              </w:rPr>
              <w:t>、废化学试剂等）分类收集、贮存，贴上醒目标签，不得与生活垃圾混合堆放；污水处理站污泥消毒后，用专用容器盛装，</w:t>
            </w:r>
            <w:r>
              <w:rPr>
                <w:rFonts w:hint="eastAsia"/>
                <w:color w:val="auto"/>
                <w:szCs w:val="21"/>
              </w:rPr>
              <w:t>及时外运处置，</w:t>
            </w:r>
            <w:r>
              <w:rPr>
                <w:rFonts w:hint="default"/>
                <w:color w:val="auto"/>
                <w:szCs w:val="21"/>
              </w:rPr>
              <w:t>且不得与生活垃圾和医疗废物混合。发生危险废物与生活垃圾混合的现象，应将所有被污染的生活垃圾当作危险废物处理。</w:t>
            </w:r>
          </w:p>
          <w:p w14:paraId="2A9B7F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default"/>
                <w:color w:val="auto"/>
                <w:szCs w:val="21"/>
              </w:rPr>
              <w:t>按照《医疗废物管理条例》和《医疗卫生机构医疗废物管理办法》的规定，医疗废物在运送过程中发生翻车、抛洒现象，当事人应立即对洒落的危险废物迅速进行收集、清理，对被污染的现场地面进行消毒和清洁处理。对于污泥，因污泥含水率高，还需采用吸附材料吸收处理；同时，应立即请求公安交通警察在受污染地区设立隔离区，禁止其他车辆和行人穿过，避免污染物扩散和对行人造成伤害。同时立即向当地卫生局、生态环境局报告。处置工作结束后，建设单位应当将处理结果向当地卫生局、生态环境局报告。</w:t>
            </w:r>
          </w:p>
          <w:p w14:paraId="13633B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eastAsia" w:ascii="宋体" w:hAnsi="宋体" w:cs="宋体"/>
                <w:color w:val="auto"/>
                <w:szCs w:val="21"/>
              </w:rPr>
              <w:t>④</w:t>
            </w:r>
            <w:r>
              <w:rPr>
                <w:rFonts w:hint="default"/>
                <w:color w:val="auto"/>
                <w:szCs w:val="21"/>
              </w:rPr>
              <w:t>危险化学品控制措施</w:t>
            </w:r>
          </w:p>
          <w:p w14:paraId="05F12A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4" w:lineRule="exact"/>
              <w:ind w:left="0" w:right="0" w:firstLine="420" w:firstLineChars="200"/>
              <w:textAlignment w:val="auto"/>
              <w:rPr>
                <w:rFonts w:hint="default"/>
                <w:color w:val="auto"/>
                <w:szCs w:val="21"/>
              </w:rPr>
            </w:pPr>
            <w:r>
              <w:rPr>
                <w:rFonts w:hint="default"/>
                <w:color w:val="auto"/>
                <w:szCs w:val="21"/>
              </w:rPr>
              <w:t>对于危险化学品的购买、储存、保管、使用等需按照《危险化学品安全管理条例》之规定管理。危险化学品中剧毒化学品必须向当地公安局申请领取购买凭证，凭证购买。危险化学品必须储存在专用仓库、专用场地或者专用储存室内，其储存方式、方法与储存数量必须符合国家标准，并由专人管理，危险化学品出入库，必须进行核查登记，并定期检查库存。剧毒化学品以及储存数量构成重大危险源的其他危险化学品必须在专用仓库内单独存放，实行双人收发、双人保管制度。储存单位应当将储存剧毒化学品以及构成重大危险源的其他危险化学品的数量、地点以及管理人员的情况，报当地公安部门和负责危险化学品安全监督管理综合工作的部门备案。危险化学品专用仓库，应当符合国家标准对安全、消防的要求，设置明显标志。危险化学品专用仓库的储存设备和安全设施应当定期检测。而对于精神药品和麻醉药品，则根据《精神药品管理办法》和《麻醉药品管理办法》中要求购买、储存、使用，其检查监督由卫生部门管理。要求一般药品和有毒、麻醉药品分开储存，专人负责药品收发、验库、使用登记、报废等工作，医院建立药品和药剂的管理办法，只要严格按照管理办法执行，其危险化学品不会对周围环境和人群健康造成损害。医用乙醇设专门的乙醇存放库，不会对医疗环境产生重大影响。</w:t>
            </w:r>
          </w:p>
          <w:p w14:paraId="03716F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color w:val="auto"/>
                <w:szCs w:val="21"/>
              </w:rPr>
            </w:pPr>
            <w:r>
              <w:rPr>
                <w:rFonts w:hint="eastAsia" w:ascii="宋体" w:hAnsi="宋体" w:cs="宋体"/>
                <w:color w:val="auto"/>
                <w:szCs w:val="21"/>
              </w:rPr>
              <w:t>⑤</w:t>
            </w:r>
            <w:r>
              <w:rPr>
                <w:rFonts w:hint="eastAsia"/>
                <w:color w:val="auto"/>
                <w:szCs w:val="21"/>
              </w:rPr>
              <w:t>放射源</w:t>
            </w:r>
            <w:r>
              <w:rPr>
                <w:rFonts w:hint="default"/>
                <w:color w:val="auto"/>
                <w:szCs w:val="21"/>
              </w:rPr>
              <w:t>使用过程中产生的环境风险</w:t>
            </w:r>
          </w:p>
          <w:p w14:paraId="3035AF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color w:val="auto"/>
                <w:szCs w:val="21"/>
              </w:rPr>
            </w:pPr>
            <w:r>
              <w:rPr>
                <w:rFonts w:hint="default"/>
                <w:color w:val="auto"/>
                <w:szCs w:val="21"/>
              </w:rPr>
              <w:t>本项目</w:t>
            </w:r>
            <w:r>
              <w:rPr>
                <w:rFonts w:hint="eastAsia"/>
                <w:color w:val="auto"/>
                <w:szCs w:val="21"/>
              </w:rPr>
              <w:t>建设单位应加强放射源的使用和管理，</w:t>
            </w:r>
            <w:r>
              <w:rPr>
                <w:rFonts w:hint="default"/>
                <w:color w:val="auto"/>
                <w:szCs w:val="21"/>
              </w:rPr>
              <w:t>依法落实单位法人辐射安全责任制，完善各项辐射安全管理规章制度、操作规程、岗位职责，并结合实际，建立健全辐射安全与环境保护管理机构，明确工作职责，建立起以第一责任人为核心的辐射安全管理责任体系，层层落实工作责任制，真正把辐射安全防护责任落实到人，防止各种辐射事故的发生。</w:t>
            </w:r>
          </w:p>
          <w:p w14:paraId="35965DCE">
            <w:pPr>
              <w:keepNext w:val="0"/>
              <w:keepLines w:val="0"/>
              <w:suppressLineNumbers w:val="0"/>
              <w:autoSpaceDE w:val="0"/>
              <w:autoSpaceDN w:val="0"/>
              <w:adjustRightInd w:val="0"/>
              <w:snapToGrid w:val="0"/>
              <w:spacing w:before="0" w:beforeAutospacing="0" w:after="0" w:afterAutospacing="0" w:line="400" w:lineRule="exact"/>
              <w:ind w:left="0" w:right="-31" w:rightChars="-15"/>
              <w:rPr>
                <w:rFonts w:hint="default" w:eastAsia="黑体"/>
                <w:color w:val="auto"/>
                <w:kern w:val="0"/>
                <w:szCs w:val="21"/>
              </w:rPr>
            </w:pPr>
            <w:r>
              <w:rPr>
                <w:rFonts w:hint="default" w:eastAsia="黑体"/>
                <w:color w:val="auto"/>
                <w:kern w:val="0"/>
                <w:szCs w:val="21"/>
              </w:rPr>
              <w:t>7</w:t>
            </w:r>
            <w:r>
              <w:rPr>
                <w:rFonts w:hint="default" w:ascii="黑体" w:hAnsi="黑体" w:eastAsia="黑体"/>
                <w:color w:val="auto"/>
                <w:kern w:val="0"/>
                <w:szCs w:val="21"/>
              </w:rPr>
              <w:t>、环保投资一览表</w:t>
            </w:r>
          </w:p>
          <w:p w14:paraId="33E19BEA">
            <w:pPr>
              <w:keepNext w:val="0"/>
              <w:keepLines w:val="0"/>
              <w:suppressLineNumbers w:val="0"/>
              <w:autoSpaceDE w:val="0"/>
              <w:autoSpaceDN w:val="0"/>
              <w:adjustRightInd w:val="0"/>
              <w:snapToGrid w:val="0"/>
              <w:spacing w:before="0" w:beforeAutospacing="0" w:after="0" w:afterAutospacing="0" w:line="500" w:lineRule="exact"/>
              <w:ind w:left="0" w:right="0"/>
              <w:jc w:val="center"/>
              <w:rPr>
                <w:rFonts w:hint="default" w:ascii="黑体" w:hAnsi="黑体" w:eastAsia="黑体"/>
                <w:color w:val="auto"/>
                <w:kern w:val="0"/>
                <w:sz w:val="18"/>
                <w:szCs w:val="18"/>
              </w:rPr>
            </w:pPr>
          </w:p>
          <w:p w14:paraId="1700338D">
            <w:pPr>
              <w:keepNext w:val="0"/>
              <w:keepLines w:val="0"/>
              <w:suppressLineNumbers w:val="0"/>
              <w:autoSpaceDE w:val="0"/>
              <w:autoSpaceDN w:val="0"/>
              <w:adjustRightInd w:val="0"/>
              <w:snapToGrid w:val="0"/>
              <w:spacing w:before="0" w:beforeAutospacing="0" w:after="0" w:afterAutospacing="0" w:line="500" w:lineRule="exact"/>
              <w:ind w:left="0" w:right="0"/>
              <w:jc w:val="center"/>
              <w:rPr>
                <w:rFonts w:hint="default" w:eastAsia="黑体"/>
                <w:color w:val="auto"/>
                <w:kern w:val="0"/>
                <w:sz w:val="18"/>
                <w:szCs w:val="18"/>
              </w:rPr>
            </w:pPr>
            <w:r>
              <w:rPr>
                <w:rFonts w:hint="default" w:ascii="黑体" w:hAnsi="黑体" w:eastAsia="黑体"/>
                <w:color w:val="auto"/>
                <w:kern w:val="0"/>
                <w:sz w:val="18"/>
                <w:szCs w:val="18"/>
              </w:rPr>
              <w:t>表</w:t>
            </w:r>
            <w:r>
              <w:rPr>
                <w:rFonts w:hint="default" w:eastAsia="黑体"/>
                <w:color w:val="auto"/>
                <w:kern w:val="0"/>
                <w:sz w:val="18"/>
                <w:szCs w:val="18"/>
              </w:rPr>
              <w:t>4-1</w:t>
            </w:r>
            <w:r>
              <w:rPr>
                <w:rFonts w:hint="eastAsia" w:eastAsia="黑体"/>
                <w:color w:val="auto"/>
                <w:kern w:val="0"/>
                <w:sz w:val="18"/>
                <w:szCs w:val="18"/>
              </w:rPr>
              <w:t>7</w:t>
            </w:r>
            <w:r>
              <w:rPr>
                <w:rFonts w:hint="default" w:eastAsia="黑体"/>
                <w:color w:val="auto"/>
                <w:kern w:val="0"/>
                <w:sz w:val="18"/>
                <w:szCs w:val="18"/>
              </w:rPr>
              <w:t xml:space="preserve">  </w:t>
            </w:r>
            <w:r>
              <w:rPr>
                <w:rFonts w:hint="default" w:ascii="黑体" w:hAnsi="黑体" w:eastAsia="黑体"/>
                <w:color w:val="auto"/>
                <w:kern w:val="0"/>
                <w:sz w:val="18"/>
                <w:szCs w:val="18"/>
              </w:rPr>
              <w:t>环保投资估算一览表</w:t>
            </w:r>
            <w:r>
              <w:rPr>
                <w:rFonts w:hint="default" w:eastAsia="黑体"/>
                <w:color w:val="auto"/>
                <w:kern w:val="0"/>
                <w:sz w:val="18"/>
                <w:szCs w:val="18"/>
              </w:rPr>
              <w:t xml:space="preserve">   </w:t>
            </w:r>
            <w:r>
              <w:rPr>
                <w:rFonts w:hint="default" w:ascii="黑体" w:hAnsi="黑体" w:eastAsia="黑体"/>
                <w:color w:val="auto"/>
                <w:kern w:val="0"/>
                <w:sz w:val="18"/>
                <w:szCs w:val="18"/>
              </w:rPr>
              <w:t>单位：万元</w:t>
            </w:r>
          </w:p>
          <w:tbl>
            <w:tblPr>
              <w:tblStyle w:val="13"/>
              <w:tblW w:w="7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6004"/>
              <w:gridCol w:w="709"/>
              <w:gridCol w:w="665"/>
            </w:tblGrid>
            <w:tr w14:paraId="53634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tcBorders>
                    <w:top w:val="single" w:color="auto" w:sz="4" w:space="0"/>
                    <w:left w:val="single" w:color="auto" w:sz="4" w:space="0"/>
                    <w:bottom w:val="single" w:color="auto" w:sz="4" w:space="0"/>
                    <w:right w:val="single" w:color="auto" w:sz="4" w:space="0"/>
                  </w:tcBorders>
                  <w:vAlign w:val="center"/>
                </w:tcPr>
                <w:p w14:paraId="59CD07B0">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b/>
                      <w:bCs/>
                      <w:color w:val="auto"/>
                      <w:sz w:val="18"/>
                      <w:szCs w:val="18"/>
                    </w:rPr>
                  </w:pPr>
                  <w:r>
                    <w:rPr>
                      <w:rFonts w:hint="default" w:ascii="宋体" w:hAnsi="宋体"/>
                      <w:b/>
                      <w:bCs/>
                      <w:color w:val="auto"/>
                      <w:sz w:val="18"/>
                      <w:szCs w:val="18"/>
                    </w:rPr>
                    <w:t>项目</w:t>
                  </w:r>
                </w:p>
              </w:tc>
              <w:tc>
                <w:tcPr>
                  <w:tcW w:w="6004" w:type="dxa"/>
                  <w:tcBorders>
                    <w:top w:val="single" w:color="auto" w:sz="4" w:space="0"/>
                    <w:left w:val="single" w:color="auto" w:sz="4" w:space="0"/>
                    <w:bottom w:val="single" w:color="auto" w:sz="4" w:space="0"/>
                    <w:right w:val="single" w:color="auto" w:sz="4" w:space="0"/>
                  </w:tcBorders>
                  <w:vAlign w:val="center"/>
                </w:tcPr>
                <w:p w14:paraId="6DACB775">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b/>
                      <w:bCs/>
                      <w:color w:val="auto"/>
                      <w:sz w:val="18"/>
                      <w:szCs w:val="18"/>
                    </w:rPr>
                  </w:pPr>
                  <w:r>
                    <w:rPr>
                      <w:rFonts w:hint="default" w:ascii="宋体" w:hAnsi="宋体"/>
                      <w:b/>
                      <w:bCs/>
                      <w:color w:val="auto"/>
                      <w:sz w:val="18"/>
                      <w:szCs w:val="18"/>
                    </w:rPr>
                    <w:t>环保设施（措施）内容</w:t>
                  </w:r>
                </w:p>
              </w:tc>
              <w:tc>
                <w:tcPr>
                  <w:tcW w:w="709" w:type="dxa"/>
                  <w:tcBorders>
                    <w:top w:val="single" w:color="auto" w:sz="4" w:space="0"/>
                    <w:left w:val="single" w:color="auto" w:sz="4" w:space="0"/>
                    <w:bottom w:val="single" w:color="auto" w:sz="4" w:space="0"/>
                    <w:right w:val="single" w:color="auto" w:sz="4" w:space="0"/>
                  </w:tcBorders>
                  <w:vAlign w:val="center"/>
                </w:tcPr>
                <w:p w14:paraId="79D7D879">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b/>
                      <w:bCs/>
                      <w:color w:val="auto"/>
                      <w:sz w:val="18"/>
                      <w:szCs w:val="18"/>
                    </w:rPr>
                  </w:pPr>
                  <w:r>
                    <w:rPr>
                      <w:rFonts w:hint="default" w:ascii="宋体" w:hAnsi="宋体"/>
                      <w:b/>
                      <w:bCs/>
                      <w:color w:val="auto"/>
                      <w:sz w:val="18"/>
                      <w:szCs w:val="18"/>
                    </w:rPr>
                    <w:t>投资</w:t>
                  </w:r>
                </w:p>
              </w:tc>
              <w:tc>
                <w:tcPr>
                  <w:tcW w:w="665" w:type="dxa"/>
                  <w:tcBorders>
                    <w:top w:val="single" w:color="auto" w:sz="4" w:space="0"/>
                    <w:left w:val="single" w:color="auto" w:sz="4" w:space="0"/>
                    <w:bottom w:val="single" w:color="auto" w:sz="4" w:space="0"/>
                    <w:right w:val="single" w:color="auto" w:sz="4" w:space="0"/>
                  </w:tcBorders>
                  <w:vAlign w:val="center"/>
                </w:tcPr>
                <w:p w14:paraId="27A5FC69">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b/>
                      <w:bCs/>
                      <w:color w:val="auto"/>
                      <w:sz w:val="18"/>
                      <w:szCs w:val="18"/>
                    </w:rPr>
                  </w:pPr>
                  <w:r>
                    <w:rPr>
                      <w:rFonts w:hint="default" w:ascii="宋体" w:hAnsi="宋体"/>
                      <w:b/>
                      <w:bCs/>
                      <w:color w:val="auto"/>
                      <w:sz w:val="18"/>
                      <w:szCs w:val="18"/>
                    </w:rPr>
                    <w:t>备注</w:t>
                  </w:r>
                </w:p>
              </w:tc>
            </w:tr>
            <w:tr w14:paraId="20B4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vMerge w:val="restart"/>
                  <w:tcBorders>
                    <w:top w:val="nil"/>
                    <w:left w:val="single" w:color="auto" w:sz="4" w:space="0"/>
                    <w:bottom w:val="single" w:color="auto" w:sz="4" w:space="0"/>
                    <w:right w:val="single" w:color="auto" w:sz="4" w:space="0"/>
                  </w:tcBorders>
                  <w:vAlign w:val="center"/>
                </w:tcPr>
                <w:p w14:paraId="15F7F812">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bookmarkStart w:id="7" w:name="_Hlk458068448"/>
                  <w:r>
                    <w:rPr>
                      <w:rFonts w:hint="default" w:ascii="宋体" w:hAnsi="宋体"/>
                      <w:color w:val="auto"/>
                      <w:sz w:val="18"/>
                      <w:szCs w:val="18"/>
                    </w:rPr>
                    <w:t>废气</w:t>
                  </w:r>
                  <w:bookmarkEnd w:id="7"/>
                </w:p>
                <w:p w14:paraId="74154BAA">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r>
                    <w:rPr>
                      <w:rFonts w:hint="default" w:ascii="宋体" w:hAnsi="宋体"/>
                      <w:color w:val="auto"/>
                      <w:sz w:val="18"/>
                      <w:szCs w:val="18"/>
                    </w:rPr>
                    <w:t>治理</w:t>
                  </w:r>
                </w:p>
              </w:tc>
              <w:tc>
                <w:tcPr>
                  <w:tcW w:w="6004" w:type="dxa"/>
                  <w:tcBorders>
                    <w:top w:val="single" w:color="auto" w:sz="4" w:space="0"/>
                    <w:left w:val="single" w:color="auto" w:sz="4" w:space="0"/>
                    <w:bottom w:val="single" w:color="auto" w:sz="4" w:space="0"/>
                    <w:right w:val="single" w:color="auto" w:sz="4" w:space="0"/>
                  </w:tcBorders>
                  <w:vAlign w:val="center"/>
                </w:tcPr>
                <w:p w14:paraId="6F1F93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textAlignment w:val="auto"/>
                    <w:rPr>
                      <w:rFonts w:hint="default" w:ascii="宋体" w:hAnsi="宋体" w:eastAsia="宋体" w:cs="Times New Roman"/>
                      <w:color w:val="auto"/>
                      <w:kern w:val="2"/>
                      <w:sz w:val="18"/>
                      <w:szCs w:val="18"/>
                      <w:lang w:val="en-US" w:eastAsia="zh-CN" w:bidi="ar-SA"/>
                    </w:rPr>
                  </w:pPr>
                  <w:r>
                    <w:rPr>
                      <w:rFonts w:hint="default" w:ascii="宋体" w:hAnsi="宋体"/>
                      <w:color w:val="auto"/>
                      <w:sz w:val="18"/>
                      <w:szCs w:val="18"/>
                    </w:rPr>
                    <w:t>医疗废气：对</w:t>
                  </w:r>
                  <w:r>
                    <w:rPr>
                      <w:rFonts w:hint="eastAsia" w:ascii="宋体" w:hAnsi="宋体"/>
                      <w:color w:val="auto"/>
                      <w:sz w:val="18"/>
                      <w:szCs w:val="18"/>
                    </w:rPr>
                    <w:t>病房、检验室、手术室等采取机械通风措施，对周围环境影响很小</w:t>
                  </w:r>
                </w:p>
              </w:tc>
              <w:tc>
                <w:tcPr>
                  <w:tcW w:w="709" w:type="dxa"/>
                  <w:tcBorders>
                    <w:top w:val="single" w:color="auto" w:sz="4" w:space="0"/>
                    <w:left w:val="single" w:color="auto" w:sz="4" w:space="0"/>
                    <w:bottom w:val="single" w:color="auto" w:sz="4" w:space="0"/>
                    <w:right w:val="single" w:color="auto" w:sz="4" w:space="0"/>
                  </w:tcBorders>
                  <w:vAlign w:val="center"/>
                </w:tcPr>
                <w:p w14:paraId="0A700BF0">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8</w:t>
                  </w:r>
                </w:p>
              </w:tc>
              <w:tc>
                <w:tcPr>
                  <w:tcW w:w="665" w:type="dxa"/>
                  <w:tcBorders>
                    <w:top w:val="single" w:color="auto" w:sz="4" w:space="0"/>
                    <w:left w:val="single" w:color="auto" w:sz="4" w:space="0"/>
                    <w:bottom w:val="single" w:color="auto" w:sz="4" w:space="0"/>
                    <w:right w:val="single" w:color="auto" w:sz="4" w:space="0"/>
                  </w:tcBorders>
                  <w:vAlign w:val="center"/>
                </w:tcPr>
                <w:p w14:paraId="4D3CA5A9">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新建</w:t>
                  </w:r>
                </w:p>
              </w:tc>
            </w:tr>
            <w:tr w14:paraId="3A16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vMerge w:val="continue"/>
                  <w:tcBorders>
                    <w:top w:val="nil"/>
                    <w:left w:val="single" w:color="auto" w:sz="4" w:space="0"/>
                    <w:bottom w:val="single" w:color="auto" w:sz="4" w:space="0"/>
                    <w:right w:val="single" w:color="auto" w:sz="4" w:space="0"/>
                  </w:tcBorders>
                  <w:vAlign w:val="center"/>
                </w:tcPr>
                <w:p w14:paraId="2A55A3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default"/>
                      <w:color w:val="auto"/>
                      <w:sz w:val="18"/>
                      <w:szCs w:val="18"/>
                    </w:rPr>
                  </w:pPr>
                </w:p>
              </w:tc>
              <w:tc>
                <w:tcPr>
                  <w:tcW w:w="6004" w:type="dxa"/>
                  <w:tcBorders>
                    <w:top w:val="single" w:color="auto" w:sz="4" w:space="0"/>
                    <w:left w:val="single" w:color="auto" w:sz="4" w:space="0"/>
                    <w:bottom w:val="single" w:color="auto" w:sz="4" w:space="0"/>
                    <w:right w:val="single" w:color="auto" w:sz="4" w:space="0"/>
                  </w:tcBorders>
                  <w:vAlign w:val="center"/>
                </w:tcPr>
                <w:p w14:paraId="6FC4ED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textAlignment w:val="auto"/>
                    <w:rPr>
                      <w:rFonts w:hint="default" w:ascii="Times New Roman" w:hAnsi="Times New Roman" w:eastAsia="宋体" w:cs="Times New Roman"/>
                      <w:color w:val="auto"/>
                      <w:kern w:val="2"/>
                      <w:sz w:val="18"/>
                      <w:szCs w:val="18"/>
                      <w:lang w:val="en-US" w:eastAsia="zh-CN" w:bidi="ar-SA"/>
                    </w:rPr>
                  </w:pPr>
                  <w:r>
                    <w:rPr>
                      <w:rFonts w:hint="eastAsia" w:ascii="宋体" w:hAnsi="宋体"/>
                      <w:color w:val="auto"/>
                      <w:sz w:val="18"/>
                      <w:szCs w:val="18"/>
                    </w:rPr>
                    <w:t>污水站</w:t>
                  </w:r>
                  <w:r>
                    <w:rPr>
                      <w:rFonts w:hint="default" w:ascii="宋体" w:hAnsi="宋体"/>
                      <w:color w:val="auto"/>
                      <w:sz w:val="18"/>
                      <w:szCs w:val="18"/>
                    </w:rPr>
                    <w:t>恶臭：污水处理设施布置在封闭房间内，</w:t>
                  </w:r>
                  <w:r>
                    <w:rPr>
                      <w:rFonts w:hint="eastAsia" w:ascii="宋体" w:hAnsi="宋体"/>
                      <w:color w:val="auto"/>
                      <w:sz w:val="18"/>
                      <w:szCs w:val="18"/>
                    </w:rPr>
                    <w:t>定期喷洒除臭剂；池体加盖密闭留有通气口；</w:t>
                  </w:r>
                </w:p>
              </w:tc>
              <w:tc>
                <w:tcPr>
                  <w:tcW w:w="709" w:type="dxa"/>
                  <w:tcBorders>
                    <w:top w:val="single" w:color="auto" w:sz="4" w:space="0"/>
                    <w:left w:val="single" w:color="auto" w:sz="4" w:space="0"/>
                    <w:bottom w:val="single" w:color="auto" w:sz="4" w:space="0"/>
                    <w:right w:val="single" w:color="auto" w:sz="4" w:space="0"/>
                  </w:tcBorders>
                  <w:vAlign w:val="center"/>
                </w:tcPr>
                <w:p w14:paraId="0280891E">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5</w:t>
                  </w:r>
                </w:p>
              </w:tc>
              <w:tc>
                <w:tcPr>
                  <w:tcW w:w="665" w:type="dxa"/>
                  <w:tcBorders>
                    <w:top w:val="single" w:color="auto" w:sz="4" w:space="0"/>
                    <w:left w:val="single" w:color="auto" w:sz="4" w:space="0"/>
                    <w:bottom w:val="single" w:color="auto" w:sz="4" w:space="0"/>
                    <w:right w:val="single" w:color="auto" w:sz="4" w:space="0"/>
                  </w:tcBorders>
                  <w:vAlign w:val="center"/>
                </w:tcPr>
                <w:p w14:paraId="5178BBB2">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eastAsia"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新建</w:t>
                  </w:r>
                </w:p>
              </w:tc>
            </w:tr>
            <w:tr w14:paraId="226E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vMerge w:val="continue"/>
                  <w:tcBorders>
                    <w:top w:val="nil"/>
                    <w:left w:val="single" w:color="auto" w:sz="4" w:space="0"/>
                    <w:bottom w:val="single" w:color="auto" w:sz="4" w:space="0"/>
                    <w:right w:val="single" w:color="auto" w:sz="4" w:space="0"/>
                  </w:tcBorders>
                  <w:vAlign w:val="center"/>
                </w:tcPr>
                <w:p w14:paraId="11CAD0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default"/>
                      <w:color w:val="auto"/>
                      <w:sz w:val="18"/>
                      <w:szCs w:val="18"/>
                    </w:rPr>
                  </w:pPr>
                </w:p>
              </w:tc>
              <w:tc>
                <w:tcPr>
                  <w:tcW w:w="6004" w:type="dxa"/>
                  <w:tcBorders>
                    <w:top w:val="single" w:color="auto" w:sz="4" w:space="0"/>
                    <w:left w:val="single" w:color="auto" w:sz="4" w:space="0"/>
                    <w:bottom w:val="single" w:color="auto" w:sz="4" w:space="0"/>
                    <w:right w:val="single" w:color="auto" w:sz="4" w:space="0"/>
                  </w:tcBorders>
                  <w:vAlign w:val="center"/>
                </w:tcPr>
                <w:p w14:paraId="3EF1CE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textAlignment w:val="auto"/>
                    <w:rPr>
                      <w:rFonts w:hint="default" w:eastAsia="宋体"/>
                      <w:color w:val="auto"/>
                      <w:sz w:val="18"/>
                      <w:szCs w:val="18"/>
                      <w:lang w:val="en-US" w:eastAsia="zh-CN"/>
                    </w:rPr>
                  </w:pPr>
                  <w:r>
                    <w:rPr>
                      <w:rFonts w:hint="eastAsia"/>
                      <w:color w:val="auto"/>
                      <w:sz w:val="18"/>
                      <w:szCs w:val="18"/>
                      <w:lang w:val="en-US" w:eastAsia="zh-CN"/>
                    </w:rPr>
                    <w:t>中药煎药废气：煎药室相对封闭，设风机引至楼顶活性炭吸附装置处理后，达标排放</w:t>
                  </w:r>
                </w:p>
              </w:tc>
              <w:tc>
                <w:tcPr>
                  <w:tcW w:w="709" w:type="dxa"/>
                  <w:tcBorders>
                    <w:top w:val="single" w:color="auto" w:sz="4" w:space="0"/>
                    <w:left w:val="single" w:color="auto" w:sz="4" w:space="0"/>
                    <w:bottom w:val="single" w:color="auto" w:sz="4" w:space="0"/>
                    <w:right w:val="single" w:color="auto" w:sz="4" w:space="0"/>
                  </w:tcBorders>
                  <w:vAlign w:val="center"/>
                </w:tcPr>
                <w:p w14:paraId="7A09A48E">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eastAsia="宋体"/>
                      <w:color w:val="auto"/>
                      <w:sz w:val="18"/>
                      <w:szCs w:val="18"/>
                      <w:lang w:val="en-US" w:eastAsia="zh-CN"/>
                    </w:rPr>
                  </w:pPr>
                  <w:r>
                    <w:rPr>
                      <w:rFonts w:hint="eastAsia"/>
                      <w:color w:val="auto"/>
                      <w:sz w:val="18"/>
                      <w:szCs w:val="18"/>
                      <w:lang w:val="en-US" w:eastAsia="zh-CN"/>
                    </w:rPr>
                    <w:t>3</w:t>
                  </w:r>
                </w:p>
              </w:tc>
              <w:tc>
                <w:tcPr>
                  <w:tcW w:w="665" w:type="dxa"/>
                  <w:tcBorders>
                    <w:top w:val="single" w:color="auto" w:sz="4" w:space="0"/>
                    <w:left w:val="single" w:color="auto" w:sz="4" w:space="0"/>
                    <w:bottom w:val="single" w:color="auto" w:sz="4" w:space="0"/>
                    <w:right w:val="single" w:color="auto" w:sz="4" w:space="0"/>
                  </w:tcBorders>
                  <w:vAlign w:val="center"/>
                </w:tcPr>
                <w:p w14:paraId="7EE8C5C1">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eastAsia" w:eastAsia="宋体"/>
                      <w:color w:val="auto"/>
                      <w:sz w:val="18"/>
                      <w:szCs w:val="18"/>
                      <w:lang w:val="en-US" w:eastAsia="zh-CN"/>
                    </w:rPr>
                  </w:pPr>
                  <w:r>
                    <w:rPr>
                      <w:rFonts w:hint="eastAsia"/>
                      <w:color w:val="auto"/>
                      <w:sz w:val="18"/>
                      <w:szCs w:val="18"/>
                      <w:lang w:val="en-US" w:eastAsia="zh-CN"/>
                    </w:rPr>
                    <w:t>新建</w:t>
                  </w:r>
                </w:p>
              </w:tc>
            </w:tr>
            <w:tr w14:paraId="671E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vMerge w:val="restart"/>
                  <w:tcBorders>
                    <w:top w:val="nil"/>
                    <w:left w:val="single" w:color="auto" w:sz="4" w:space="0"/>
                    <w:bottom w:val="single" w:color="auto" w:sz="4" w:space="0"/>
                    <w:right w:val="single" w:color="auto" w:sz="4" w:space="0"/>
                  </w:tcBorders>
                  <w:vAlign w:val="center"/>
                </w:tcPr>
                <w:p w14:paraId="0B772104">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r>
                    <w:rPr>
                      <w:rFonts w:hint="default" w:ascii="宋体" w:hAnsi="宋体"/>
                      <w:color w:val="auto"/>
                      <w:sz w:val="18"/>
                      <w:szCs w:val="18"/>
                    </w:rPr>
                    <w:t>废水</w:t>
                  </w:r>
                </w:p>
                <w:p w14:paraId="13F7570C">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r>
                    <w:rPr>
                      <w:rFonts w:hint="default" w:ascii="宋体" w:hAnsi="宋体"/>
                      <w:color w:val="auto"/>
                      <w:sz w:val="18"/>
                      <w:szCs w:val="18"/>
                    </w:rPr>
                    <w:t>治理</w:t>
                  </w:r>
                </w:p>
              </w:tc>
              <w:tc>
                <w:tcPr>
                  <w:tcW w:w="6004" w:type="dxa"/>
                  <w:tcBorders>
                    <w:top w:val="single" w:color="auto" w:sz="4" w:space="0"/>
                    <w:left w:val="single" w:color="auto" w:sz="4" w:space="0"/>
                    <w:bottom w:val="single" w:color="auto" w:sz="4" w:space="0"/>
                    <w:right w:val="single" w:color="auto" w:sz="4" w:space="0"/>
                  </w:tcBorders>
                  <w:vAlign w:val="center"/>
                </w:tcPr>
                <w:p w14:paraId="7B8E84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textAlignment w:val="auto"/>
                    <w:rPr>
                      <w:rFonts w:hint="default" w:ascii="Times New Roman" w:hAnsi="Times New Roman" w:eastAsia="宋体" w:cs="Times New Roman"/>
                      <w:color w:val="auto"/>
                      <w:kern w:val="2"/>
                      <w:sz w:val="18"/>
                      <w:szCs w:val="18"/>
                      <w:lang w:val="en-US" w:eastAsia="zh-CN" w:bidi="ar-SA"/>
                    </w:rPr>
                  </w:pPr>
                  <w:r>
                    <w:rPr>
                      <w:rFonts w:hint="default" w:ascii="宋体" w:hAnsi="宋体"/>
                      <w:color w:val="auto"/>
                      <w:sz w:val="18"/>
                      <w:szCs w:val="18"/>
                    </w:rPr>
                    <w:t>检验室酸碱废水：设专用容器中和</w:t>
                  </w:r>
                  <w:r>
                    <w:rPr>
                      <w:rFonts w:hint="eastAsia" w:ascii="宋体" w:hAnsi="宋体"/>
                      <w:color w:val="auto"/>
                      <w:sz w:val="18"/>
                      <w:szCs w:val="18"/>
                      <w:lang w:val="en-US" w:eastAsia="zh-CN"/>
                    </w:rPr>
                    <w:t>处理</w:t>
                  </w:r>
                  <w:r>
                    <w:rPr>
                      <w:rFonts w:hint="default" w:ascii="宋体" w:hAnsi="宋体"/>
                      <w:color w:val="auto"/>
                      <w:sz w:val="18"/>
                      <w:szCs w:val="18"/>
                    </w:rPr>
                    <w:t>后，排入自建的</w:t>
                  </w:r>
                  <w:r>
                    <w:rPr>
                      <w:rFonts w:hint="eastAsia" w:ascii="宋体" w:hAnsi="宋体"/>
                      <w:color w:val="auto"/>
                      <w:sz w:val="18"/>
                      <w:szCs w:val="18"/>
                    </w:rPr>
                    <w:t>废水处理站</w:t>
                  </w:r>
                  <w:r>
                    <w:rPr>
                      <w:rFonts w:hint="default" w:ascii="宋体" w:hAnsi="宋体"/>
                      <w:color w:val="auto"/>
                      <w:sz w:val="18"/>
                      <w:szCs w:val="18"/>
                    </w:rPr>
                    <w:t>处理</w:t>
                  </w:r>
                </w:p>
              </w:tc>
              <w:tc>
                <w:tcPr>
                  <w:tcW w:w="709" w:type="dxa"/>
                  <w:tcBorders>
                    <w:top w:val="single" w:color="auto" w:sz="4" w:space="0"/>
                    <w:left w:val="single" w:color="auto" w:sz="4" w:space="0"/>
                    <w:bottom w:val="single" w:color="auto" w:sz="4" w:space="0"/>
                    <w:right w:val="single" w:color="auto" w:sz="4" w:space="0"/>
                  </w:tcBorders>
                  <w:vAlign w:val="center"/>
                </w:tcPr>
                <w:p w14:paraId="5984B30A">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宋体" w:hAnsi="宋体" w:eastAsia="宋体" w:cs="Times New Roman"/>
                      <w:color w:val="auto"/>
                      <w:kern w:val="2"/>
                      <w:sz w:val="18"/>
                      <w:szCs w:val="18"/>
                      <w:lang w:val="en-US" w:eastAsia="zh-CN" w:bidi="ar-SA"/>
                    </w:rPr>
                  </w:pPr>
                  <w:r>
                    <w:rPr>
                      <w:rFonts w:hint="eastAsia"/>
                      <w:color w:val="auto"/>
                      <w:sz w:val="18"/>
                      <w:szCs w:val="18"/>
                    </w:rPr>
                    <w:t>2</w:t>
                  </w:r>
                </w:p>
              </w:tc>
              <w:tc>
                <w:tcPr>
                  <w:tcW w:w="665" w:type="dxa"/>
                  <w:tcBorders>
                    <w:top w:val="single" w:color="auto" w:sz="4" w:space="0"/>
                    <w:left w:val="single" w:color="auto" w:sz="4" w:space="0"/>
                    <w:bottom w:val="single" w:color="auto" w:sz="4" w:space="0"/>
                    <w:right w:val="single" w:color="auto" w:sz="4" w:space="0"/>
                  </w:tcBorders>
                  <w:vAlign w:val="center"/>
                </w:tcPr>
                <w:p w14:paraId="2B06A85A">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新建</w:t>
                  </w:r>
                </w:p>
              </w:tc>
            </w:tr>
            <w:tr w14:paraId="55242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vMerge w:val="continue"/>
                  <w:tcBorders>
                    <w:top w:val="nil"/>
                    <w:left w:val="single" w:color="auto" w:sz="4" w:space="0"/>
                    <w:bottom w:val="single" w:color="auto" w:sz="4" w:space="0"/>
                    <w:right w:val="single" w:color="auto" w:sz="4" w:space="0"/>
                  </w:tcBorders>
                  <w:vAlign w:val="center"/>
                </w:tcPr>
                <w:p w14:paraId="775741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default"/>
                      <w:color w:val="auto"/>
                      <w:sz w:val="18"/>
                      <w:szCs w:val="18"/>
                    </w:rPr>
                  </w:pPr>
                </w:p>
              </w:tc>
              <w:tc>
                <w:tcPr>
                  <w:tcW w:w="6004" w:type="dxa"/>
                  <w:tcBorders>
                    <w:top w:val="single" w:color="auto" w:sz="4" w:space="0"/>
                    <w:left w:val="single" w:color="auto" w:sz="4" w:space="0"/>
                    <w:bottom w:val="single" w:color="auto" w:sz="4" w:space="0"/>
                    <w:right w:val="single" w:color="auto" w:sz="4" w:space="0"/>
                  </w:tcBorders>
                  <w:vAlign w:val="center"/>
                </w:tcPr>
                <w:p w14:paraId="128A2E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textAlignment w:val="auto"/>
                    <w:rPr>
                      <w:rFonts w:hint="default" w:ascii="Times New Roman" w:hAnsi="Times New Roman" w:eastAsia="宋体" w:cs="Times New Roman"/>
                      <w:color w:val="auto"/>
                      <w:kern w:val="2"/>
                      <w:sz w:val="18"/>
                      <w:szCs w:val="18"/>
                      <w:lang w:val="en-US" w:eastAsia="zh-CN" w:bidi="ar-SA"/>
                    </w:rPr>
                  </w:pPr>
                  <w:r>
                    <w:rPr>
                      <w:rFonts w:hint="eastAsia" w:ascii="宋体" w:hAnsi="宋体"/>
                      <w:color w:val="auto"/>
                      <w:sz w:val="18"/>
                      <w:szCs w:val="18"/>
                    </w:rPr>
                    <w:t>生活污水：收集后排至</w:t>
                  </w:r>
                  <w:r>
                    <w:rPr>
                      <w:rFonts w:hint="eastAsia" w:ascii="宋体" w:hAnsi="宋体"/>
                      <w:color w:val="auto"/>
                      <w:sz w:val="18"/>
                      <w:szCs w:val="18"/>
                      <w:lang w:val="en-US" w:eastAsia="zh-CN"/>
                    </w:rPr>
                    <w:t>化粪池再进入</w:t>
                  </w:r>
                  <w:r>
                    <w:rPr>
                      <w:rFonts w:hint="eastAsia" w:ascii="宋体" w:hAnsi="宋体"/>
                      <w:color w:val="auto"/>
                      <w:sz w:val="18"/>
                      <w:szCs w:val="18"/>
                    </w:rPr>
                    <w:t>废水处理站处理</w:t>
                  </w:r>
                </w:p>
              </w:tc>
              <w:tc>
                <w:tcPr>
                  <w:tcW w:w="709" w:type="dxa"/>
                  <w:tcBorders>
                    <w:top w:val="single" w:color="auto" w:sz="4" w:space="0"/>
                    <w:left w:val="single" w:color="auto" w:sz="4" w:space="0"/>
                    <w:bottom w:val="single" w:color="auto" w:sz="4" w:space="0"/>
                    <w:right w:val="single" w:color="auto" w:sz="4" w:space="0"/>
                  </w:tcBorders>
                  <w:vAlign w:val="center"/>
                </w:tcPr>
                <w:p w14:paraId="7DF90546">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rPr>
                    <w:t>3</w:t>
                  </w:r>
                </w:p>
              </w:tc>
              <w:tc>
                <w:tcPr>
                  <w:tcW w:w="665" w:type="dxa"/>
                  <w:tcBorders>
                    <w:top w:val="single" w:color="auto" w:sz="4" w:space="0"/>
                    <w:left w:val="single" w:color="auto" w:sz="4" w:space="0"/>
                    <w:bottom w:val="single" w:color="auto" w:sz="4" w:space="0"/>
                    <w:right w:val="single" w:color="auto" w:sz="4" w:space="0"/>
                  </w:tcBorders>
                  <w:vAlign w:val="center"/>
                </w:tcPr>
                <w:p w14:paraId="1454CDC4">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宋体" w:hAnsi="宋体" w:eastAsia="宋体" w:cs="Times New Roman"/>
                      <w:color w:val="auto"/>
                      <w:kern w:val="2"/>
                      <w:sz w:val="18"/>
                      <w:szCs w:val="18"/>
                      <w:lang w:val="en-US" w:eastAsia="zh-CN" w:bidi="ar-SA"/>
                    </w:rPr>
                  </w:pPr>
                  <w:r>
                    <w:rPr>
                      <w:rFonts w:hint="eastAsia" w:ascii="宋体" w:hAnsi="宋体" w:cs="Times New Roman"/>
                      <w:color w:val="auto"/>
                      <w:kern w:val="2"/>
                      <w:sz w:val="18"/>
                      <w:szCs w:val="18"/>
                      <w:lang w:val="en-US" w:eastAsia="zh-CN" w:bidi="ar-SA"/>
                    </w:rPr>
                    <w:t>新建</w:t>
                  </w:r>
                </w:p>
              </w:tc>
            </w:tr>
            <w:tr w14:paraId="08A4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vMerge w:val="continue"/>
                  <w:tcBorders>
                    <w:top w:val="nil"/>
                    <w:left w:val="single" w:color="auto" w:sz="4" w:space="0"/>
                    <w:bottom w:val="single" w:color="auto" w:sz="4" w:space="0"/>
                    <w:right w:val="single" w:color="auto" w:sz="4" w:space="0"/>
                  </w:tcBorders>
                  <w:vAlign w:val="center"/>
                </w:tcPr>
                <w:p w14:paraId="0E4F12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default"/>
                      <w:color w:val="auto"/>
                      <w:sz w:val="18"/>
                      <w:szCs w:val="18"/>
                    </w:rPr>
                  </w:pPr>
                </w:p>
              </w:tc>
              <w:tc>
                <w:tcPr>
                  <w:tcW w:w="6004" w:type="dxa"/>
                  <w:tcBorders>
                    <w:top w:val="single" w:color="auto" w:sz="4" w:space="0"/>
                    <w:left w:val="single" w:color="auto" w:sz="4" w:space="0"/>
                    <w:bottom w:val="single" w:color="auto" w:sz="4" w:space="0"/>
                    <w:right w:val="single" w:color="auto" w:sz="4" w:space="0"/>
                  </w:tcBorders>
                  <w:vAlign w:val="center"/>
                </w:tcPr>
                <w:p w14:paraId="3BC053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textAlignment w:val="auto"/>
                    <w:rPr>
                      <w:rFonts w:hint="default" w:ascii="Times New Roman" w:hAnsi="Times New Roman" w:eastAsia="宋体" w:cs="Times New Roman"/>
                      <w:color w:val="auto"/>
                      <w:kern w:val="2"/>
                      <w:sz w:val="18"/>
                      <w:szCs w:val="18"/>
                      <w:lang w:val="en-US" w:eastAsia="zh-CN" w:bidi="ar-SA"/>
                    </w:rPr>
                  </w:pPr>
                  <w:r>
                    <w:rPr>
                      <w:rFonts w:hint="default" w:ascii="宋体" w:hAnsi="宋体"/>
                      <w:color w:val="auto"/>
                      <w:sz w:val="18"/>
                      <w:szCs w:val="18"/>
                    </w:rPr>
                    <w:t>医疗废水：</w:t>
                  </w:r>
                  <w:r>
                    <w:rPr>
                      <w:rFonts w:hint="eastAsia" w:ascii="宋体" w:hAnsi="宋体"/>
                      <w:color w:val="auto"/>
                      <w:sz w:val="18"/>
                      <w:szCs w:val="18"/>
                      <w:lang w:val="en-US" w:eastAsia="zh-CN"/>
                    </w:rPr>
                    <w:t>自建</w:t>
                  </w:r>
                  <w:r>
                    <w:rPr>
                      <w:rFonts w:hint="default" w:ascii="宋体" w:hAnsi="宋体"/>
                      <w:color w:val="auto"/>
                      <w:sz w:val="18"/>
                      <w:szCs w:val="18"/>
                    </w:rPr>
                    <w:t>污水处理站</w:t>
                  </w:r>
                  <w:r>
                    <w:rPr>
                      <w:rFonts w:hint="eastAsia" w:ascii="宋体" w:hAnsi="宋体"/>
                      <w:color w:val="auto"/>
                      <w:sz w:val="18"/>
                      <w:szCs w:val="18"/>
                      <w:lang w:eastAsia="zh-CN"/>
                    </w:rPr>
                    <w:t>，</w:t>
                  </w:r>
                  <w:r>
                    <w:rPr>
                      <w:rFonts w:hint="eastAsia" w:ascii="宋体" w:hAnsi="宋体"/>
                      <w:color w:val="auto"/>
                      <w:sz w:val="18"/>
                      <w:szCs w:val="18"/>
                      <w:lang w:val="en-US" w:eastAsia="zh-CN"/>
                    </w:rPr>
                    <w:t>采用</w:t>
                  </w:r>
                  <w:r>
                    <w:rPr>
                      <w:rFonts w:hint="default"/>
                      <w:color w:val="auto"/>
                      <w:sz w:val="18"/>
                      <w:szCs w:val="18"/>
                    </w:rPr>
                    <w:t>“</w:t>
                  </w:r>
                  <w:r>
                    <w:rPr>
                      <w:rFonts w:hint="eastAsia"/>
                      <w:color w:val="auto"/>
                      <w:sz w:val="18"/>
                      <w:szCs w:val="18"/>
                      <w:lang w:val="en-US" w:eastAsia="zh-CN"/>
                    </w:rPr>
                    <w:t>化粪池</w:t>
                  </w:r>
                  <w:r>
                    <w:rPr>
                      <w:rFonts w:hint="eastAsia"/>
                      <w:color w:val="auto"/>
                      <w:sz w:val="18"/>
                      <w:szCs w:val="18"/>
                    </w:rPr>
                    <w:t>+</w:t>
                  </w:r>
                  <w:r>
                    <w:rPr>
                      <w:rFonts w:hint="eastAsia" w:ascii="宋体" w:hAnsi="宋体"/>
                      <w:color w:val="auto"/>
                      <w:sz w:val="18"/>
                      <w:szCs w:val="18"/>
                    </w:rPr>
                    <w:t>格栅</w:t>
                  </w:r>
                  <w:r>
                    <w:rPr>
                      <w:rFonts w:hint="eastAsia"/>
                      <w:color w:val="auto"/>
                      <w:sz w:val="18"/>
                      <w:szCs w:val="18"/>
                    </w:rPr>
                    <w:t>+</w:t>
                  </w:r>
                  <w:r>
                    <w:rPr>
                      <w:rFonts w:hint="eastAsia" w:ascii="宋体" w:hAnsi="宋体"/>
                      <w:color w:val="auto"/>
                      <w:sz w:val="18"/>
                      <w:szCs w:val="18"/>
                    </w:rPr>
                    <w:t>调节池</w:t>
                  </w:r>
                  <w:r>
                    <w:rPr>
                      <w:rFonts w:hint="eastAsia"/>
                      <w:color w:val="auto"/>
                      <w:sz w:val="18"/>
                      <w:szCs w:val="18"/>
                    </w:rPr>
                    <w:t>+</w:t>
                  </w:r>
                  <w:r>
                    <w:rPr>
                      <w:rFonts w:hint="eastAsia"/>
                      <w:color w:val="auto"/>
                      <w:sz w:val="18"/>
                      <w:szCs w:val="18"/>
                      <w:lang w:val="en-US" w:eastAsia="zh-CN"/>
                    </w:rPr>
                    <w:t>水解酸化</w:t>
                  </w:r>
                  <w:r>
                    <w:rPr>
                      <w:rFonts w:hint="eastAsia"/>
                      <w:color w:val="auto"/>
                      <w:sz w:val="18"/>
                      <w:szCs w:val="18"/>
                    </w:rPr>
                    <w:t>+</w:t>
                  </w:r>
                  <w:r>
                    <w:rPr>
                      <w:rFonts w:hint="eastAsia"/>
                      <w:color w:val="auto"/>
                      <w:sz w:val="18"/>
                      <w:szCs w:val="18"/>
                      <w:lang w:val="en-US" w:eastAsia="zh-CN"/>
                    </w:rPr>
                    <w:t>生物</w:t>
                  </w:r>
                  <w:r>
                    <w:rPr>
                      <w:rFonts w:hint="eastAsia"/>
                      <w:color w:val="auto"/>
                      <w:sz w:val="18"/>
                      <w:szCs w:val="18"/>
                    </w:rPr>
                    <w:t>接触氧化</w:t>
                  </w:r>
                  <w:r>
                    <w:rPr>
                      <w:rFonts w:hint="eastAsia"/>
                      <w:color w:val="auto"/>
                      <w:sz w:val="18"/>
                      <w:szCs w:val="18"/>
                      <w:lang w:val="en-US" w:eastAsia="zh-CN"/>
                    </w:rPr>
                    <w:t>+沉淀池</w:t>
                  </w:r>
                  <w:r>
                    <w:rPr>
                      <w:rFonts w:hint="eastAsia"/>
                      <w:color w:val="auto"/>
                      <w:sz w:val="18"/>
                      <w:szCs w:val="18"/>
                    </w:rPr>
                    <w:t>+</w:t>
                  </w:r>
                  <w:r>
                    <w:rPr>
                      <w:rFonts w:hint="eastAsia" w:ascii="宋体" w:hAnsi="宋体"/>
                      <w:color w:val="auto"/>
                      <w:sz w:val="18"/>
                      <w:szCs w:val="18"/>
                    </w:rPr>
                    <w:t>消毒</w:t>
                  </w:r>
                  <w:r>
                    <w:rPr>
                      <w:rFonts w:hint="default"/>
                      <w:color w:val="auto"/>
                      <w:sz w:val="18"/>
                      <w:szCs w:val="18"/>
                    </w:rPr>
                    <w:t>”</w:t>
                  </w:r>
                  <w:r>
                    <w:rPr>
                      <w:rFonts w:hint="default" w:ascii="宋体" w:hAnsi="宋体"/>
                      <w:color w:val="auto"/>
                      <w:sz w:val="18"/>
                      <w:szCs w:val="18"/>
                    </w:rPr>
                    <w:t>工艺，设计处理</w:t>
                  </w:r>
                  <w:r>
                    <w:rPr>
                      <w:rFonts w:hint="eastAsia" w:ascii="宋体" w:hAnsi="宋体"/>
                      <w:color w:val="auto"/>
                      <w:sz w:val="18"/>
                      <w:szCs w:val="18"/>
                      <w:lang w:val="en-US" w:eastAsia="zh-CN"/>
                    </w:rPr>
                    <w:t>规模1.5</w:t>
                  </w:r>
                  <w:r>
                    <w:rPr>
                      <w:rFonts w:hint="default"/>
                      <w:color w:val="auto"/>
                      <w:sz w:val="18"/>
                      <w:szCs w:val="18"/>
                    </w:rPr>
                    <w:t>m</w:t>
                  </w:r>
                  <w:r>
                    <w:rPr>
                      <w:rFonts w:hint="default"/>
                      <w:color w:val="auto"/>
                      <w:sz w:val="18"/>
                      <w:szCs w:val="18"/>
                      <w:vertAlign w:val="superscript"/>
                    </w:rPr>
                    <w:t>3</w:t>
                  </w:r>
                  <w:r>
                    <w:rPr>
                      <w:rFonts w:hint="default"/>
                      <w:color w:val="auto"/>
                      <w:sz w:val="18"/>
                      <w:szCs w:val="18"/>
                    </w:rPr>
                    <w:t>/</w:t>
                  </w:r>
                  <w:r>
                    <w:rPr>
                      <w:rFonts w:hint="eastAsia"/>
                      <w:color w:val="auto"/>
                      <w:sz w:val="18"/>
                      <w:szCs w:val="18"/>
                      <w:lang w:val="en-US" w:eastAsia="zh-CN"/>
                    </w:rPr>
                    <w:t>h</w:t>
                  </w:r>
                  <w:r>
                    <w:rPr>
                      <w:rFonts w:hint="default" w:ascii="宋体" w:hAnsi="宋体"/>
                      <w:color w:val="auto"/>
                      <w:sz w:val="18"/>
                      <w:szCs w:val="18"/>
                    </w:rPr>
                    <w:t>，</w:t>
                  </w:r>
                  <w:r>
                    <w:rPr>
                      <w:rFonts w:hint="eastAsia" w:ascii="宋体" w:hAnsi="宋体"/>
                      <w:color w:val="auto"/>
                      <w:sz w:val="18"/>
                      <w:szCs w:val="18"/>
                      <w:lang w:val="en-US" w:eastAsia="zh-CN"/>
                    </w:rPr>
                    <w:t>处理后经自建污水管网排</w:t>
                  </w:r>
                  <w:r>
                    <w:rPr>
                      <w:rFonts w:hint="eastAsia" w:ascii="宋体" w:hAnsi="宋体"/>
                      <w:color w:val="auto"/>
                      <w:sz w:val="18"/>
                      <w:szCs w:val="18"/>
                    </w:rPr>
                    <w:t>入</w:t>
                  </w:r>
                  <w:r>
                    <w:rPr>
                      <w:rFonts w:hint="eastAsia" w:ascii="宋体" w:hAnsi="宋体"/>
                      <w:color w:val="auto"/>
                      <w:sz w:val="18"/>
                      <w:szCs w:val="18"/>
                      <w:lang w:val="en-US" w:eastAsia="zh-CN"/>
                    </w:rPr>
                    <w:t>罗江镇场镇污水管网，最终进入罗江镇场镇污水处理厂</w:t>
                  </w:r>
                </w:p>
              </w:tc>
              <w:tc>
                <w:tcPr>
                  <w:tcW w:w="709" w:type="dxa"/>
                  <w:tcBorders>
                    <w:top w:val="single" w:color="auto" w:sz="4" w:space="0"/>
                    <w:left w:val="single" w:color="auto" w:sz="4" w:space="0"/>
                    <w:bottom w:val="single" w:color="auto" w:sz="4" w:space="0"/>
                    <w:right w:val="single" w:color="auto" w:sz="4" w:space="0"/>
                  </w:tcBorders>
                  <w:vAlign w:val="center"/>
                </w:tcPr>
                <w:p w14:paraId="5C05008C">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eastAsia"/>
                      <w:color w:val="auto"/>
                      <w:sz w:val="18"/>
                      <w:szCs w:val="18"/>
                      <w:lang w:val="en-US" w:eastAsia="zh-CN"/>
                    </w:rPr>
                    <w:t>15</w:t>
                  </w:r>
                </w:p>
              </w:tc>
              <w:tc>
                <w:tcPr>
                  <w:tcW w:w="665" w:type="dxa"/>
                  <w:tcBorders>
                    <w:top w:val="single" w:color="auto" w:sz="4" w:space="0"/>
                    <w:left w:val="single" w:color="auto" w:sz="4" w:space="0"/>
                    <w:bottom w:val="single" w:color="auto" w:sz="4" w:space="0"/>
                    <w:right w:val="single" w:color="auto" w:sz="4" w:space="0"/>
                  </w:tcBorders>
                  <w:vAlign w:val="center"/>
                </w:tcPr>
                <w:p w14:paraId="3F2940AE">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新建</w:t>
                  </w:r>
                </w:p>
              </w:tc>
            </w:tr>
            <w:tr w14:paraId="30A7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vMerge w:val="continue"/>
                  <w:tcBorders>
                    <w:top w:val="nil"/>
                    <w:left w:val="single" w:color="auto" w:sz="4" w:space="0"/>
                    <w:bottom w:val="single" w:color="auto" w:sz="4" w:space="0"/>
                    <w:right w:val="single" w:color="auto" w:sz="4" w:space="0"/>
                  </w:tcBorders>
                  <w:vAlign w:val="center"/>
                </w:tcPr>
                <w:p w14:paraId="01AA6C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default"/>
                      <w:color w:val="auto"/>
                      <w:sz w:val="18"/>
                      <w:szCs w:val="18"/>
                    </w:rPr>
                  </w:pPr>
                </w:p>
              </w:tc>
              <w:tc>
                <w:tcPr>
                  <w:tcW w:w="6004" w:type="dxa"/>
                  <w:tcBorders>
                    <w:top w:val="single" w:color="auto" w:sz="4" w:space="0"/>
                    <w:left w:val="single" w:color="auto" w:sz="4" w:space="0"/>
                    <w:bottom w:val="single" w:color="auto" w:sz="4" w:space="0"/>
                    <w:right w:val="single" w:color="auto" w:sz="4" w:space="0"/>
                  </w:tcBorders>
                  <w:vAlign w:val="center"/>
                </w:tcPr>
                <w:p w14:paraId="228836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textAlignment w:val="auto"/>
                    <w:rPr>
                      <w:rFonts w:hint="default" w:eastAsia="宋体"/>
                      <w:color w:val="auto"/>
                      <w:sz w:val="18"/>
                      <w:szCs w:val="18"/>
                      <w:lang w:val="en-US" w:eastAsia="zh-CN"/>
                    </w:rPr>
                  </w:pPr>
                  <w:r>
                    <w:rPr>
                      <w:rFonts w:hint="eastAsia"/>
                      <w:color w:val="auto"/>
                      <w:sz w:val="18"/>
                      <w:szCs w:val="18"/>
                      <w:lang w:val="en-US" w:eastAsia="zh-CN"/>
                    </w:rPr>
                    <w:t>血透中心阳性治疗区废水：单独收集至预消毒池处理后，再进入污水处理站</w:t>
                  </w:r>
                </w:p>
              </w:tc>
              <w:tc>
                <w:tcPr>
                  <w:tcW w:w="709" w:type="dxa"/>
                  <w:tcBorders>
                    <w:top w:val="single" w:color="auto" w:sz="4" w:space="0"/>
                    <w:left w:val="single" w:color="auto" w:sz="4" w:space="0"/>
                    <w:bottom w:val="single" w:color="auto" w:sz="4" w:space="0"/>
                    <w:right w:val="single" w:color="auto" w:sz="4" w:space="0"/>
                  </w:tcBorders>
                  <w:vAlign w:val="center"/>
                </w:tcPr>
                <w:p w14:paraId="386BF49A">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eastAsia" w:eastAsia="宋体"/>
                      <w:color w:val="auto"/>
                      <w:sz w:val="18"/>
                      <w:szCs w:val="18"/>
                      <w:lang w:val="en-US" w:eastAsia="zh-CN"/>
                    </w:rPr>
                  </w:pPr>
                  <w:r>
                    <w:rPr>
                      <w:rFonts w:hint="eastAsia"/>
                      <w:color w:val="auto"/>
                      <w:sz w:val="18"/>
                      <w:szCs w:val="18"/>
                      <w:lang w:val="en-US" w:eastAsia="zh-CN"/>
                    </w:rPr>
                    <w:t>1</w:t>
                  </w:r>
                </w:p>
              </w:tc>
              <w:tc>
                <w:tcPr>
                  <w:tcW w:w="665" w:type="dxa"/>
                  <w:tcBorders>
                    <w:top w:val="single" w:color="auto" w:sz="4" w:space="0"/>
                    <w:left w:val="single" w:color="auto" w:sz="4" w:space="0"/>
                    <w:bottom w:val="single" w:color="auto" w:sz="4" w:space="0"/>
                    <w:right w:val="single" w:color="auto" w:sz="4" w:space="0"/>
                  </w:tcBorders>
                  <w:vAlign w:val="center"/>
                </w:tcPr>
                <w:p w14:paraId="42473A4A">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eastAsia" w:eastAsia="宋体"/>
                      <w:color w:val="auto"/>
                      <w:sz w:val="18"/>
                      <w:szCs w:val="18"/>
                      <w:lang w:val="en-US" w:eastAsia="zh-CN"/>
                    </w:rPr>
                  </w:pPr>
                  <w:r>
                    <w:rPr>
                      <w:rFonts w:hint="eastAsia"/>
                      <w:color w:val="auto"/>
                      <w:sz w:val="18"/>
                      <w:szCs w:val="18"/>
                      <w:lang w:val="en-US" w:eastAsia="zh-CN"/>
                    </w:rPr>
                    <w:t>新建</w:t>
                  </w:r>
                </w:p>
              </w:tc>
            </w:tr>
            <w:tr w14:paraId="5BBCC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tcBorders>
                    <w:top w:val="nil"/>
                    <w:left w:val="single" w:color="auto" w:sz="4" w:space="0"/>
                    <w:bottom w:val="single" w:color="auto" w:sz="4" w:space="0"/>
                    <w:right w:val="single" w:color="auto" w:sz="4" w:space="0"/>
                  </w:tcBorders>
                  <w:vAlign w:val="center"/>
                </w:tcPr>
                <w:p w14:paraId="093A01EF">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r>
                    <w:rPr>
                      <w:rFonts w:hint="default" w:ascii="宋体" w:hAnsi="宋体"/>
                      <w:color w:val="auto"/>
                      <w:sz w:val="18"/>
                      <w:szCs w:val="18"/>
                    </w:rPr>
                    <w:t>噪声</w:t>
                  </w:r>
                </w:p>
                <w:p w14:paraId="23951A2A">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r>
                    <w:rPr>
                      <w:rFonts w:hint="default" w:ascii="宋体" w:hAnsi="宋体"/>
                      <w:color w:val="auto"/>
                      <w:sz w:val="18"/>
                      <w:szCs w:val="18"/>
                    </w:rPr>
                    <w:t>治理</w:t>
                  </w:r>
                </w:p>
              </w:tc>
              <w:tc>
                <w:tcPr>
                  <w:tcW w:w="6004" w:type="dxa"/>
                  <w:tcBorders>
                    <w:top w:val="single" w:color="auto" w:sz="4" w:space="0"/>
                    <w:left w:val="single" w:color="auto" w:sz="4" w:space="0"/>
                    <w:bottom w:val="single" w:color="auto" w:sz="4" w:space="0"/>
                    <w:right w:val="single" w:color="auto" w:sz="4" w:space="0"/>
                  </w:tcBorders>
                  <w:vAlign w:val="center"/>
                </w:tcPr>
                <w:p w14:paraId="0B10F85E">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textAlignment w:val="auto"/>
                    <w:rPr>
                      <w:rFonts w:hint="default" w:ascii="Times New Roman" w:hAnsi="Times New Roman" w:eastAsia="宋体" w:cs="Times New Roman"/>
                      <w:color w:val="auto"/>
                      <w:kern w:val="2"/>
                      <w:sz w:val="18"/>
                      <w:szCs w:val="18"/>
                      <w:lang w:val="en-US" w:eastAsia="zh-CN" w:bidi="ar-SA"/>
                    </w:rPr>
                  </w:pPr>
                  <w:r>
                    <w:rPr>
                      <w:rFonts w:hint="default" w:ascii="宋体" w:hAnsi="宋体"/>
                      <w:color w:val="auto"/>
                      <w:sz w:val="18"/>
                      <w:szCs w:val="18"/>
                    </w:rPr>
                    <w:t>产噪设备安装减振垫；风机</w:t>
                  </w:r>
                  <w:r>
                    <w:rPr>
                      <w:rFonts w:hint="eastAsia" w:ascii="宋体" w:hAnsi="宋体"/>
                      <w:color w:val="auto"/>
                      <w:sz w:val="18"/>
                      <w:szCs w:val="18"/>
                    </w:rPr>
                    <w:t>设置专用房间并</w:t>
                  </w:r>
                  <w:r>
                    <w:rPr>
                      <w:rFonts w:hint="default" w:ascii="宋体" w:hAnsi="宋体"/>
                      <w:color w:val="auto"/>
                      <w:sz w:val="18"/>
                      <w:szCs w:val="18"/>
                    </w:rPr>
                    <w:t>安装消声器、柔性接口等；</w:t>
                  </w:r>
                  <w:r>
                    <w:rPr>
                      <w:rFonts w:hint="eastAsia" w:ascii="宋体" w:hAnsi="宋体"/>
                      <w:color w:val="auto"/>
                      <w:sz w:val="18"/>
                      <w:szCs w:val="18"/>
                    </w:rPr>
                    <w:t>废水站</w:t>
                  </w:r>
                  <w:r>
                    <w:rPr>
                      <w:rFonts w:hint="default" w:ascii="宋体" w:hAnsi="宋体"/>
                      <w:color w:val="auto"/>
                      <w:sz w:val="18"/>
                      <w:szCs w:val="18"/>
                    </w:rPr>
                    <w:t>水泵等</w:t>
                  </w:r>
                  <w:r>
                    <w:rPr>
                      <w:rFonts w:hint="eastAsia" w:ascii="宋体" w:hAnsi="宋体"/>
                      <w:color w:val="auto"/>
                      <w:sz w:val="18"/>
                      <w:szCs w:val="18"/>
                    </w:rPr>
                    <w:t>安装于一体化设备内部</w:t>
                  </w:r>
                  <w:r>
                    <w:rPr>
                      <w:rFonts w:hint="default" w:ascii="宋体" w:hAnsi="宋体"/>
                      <w:color w:val="auto"/>
                      <w:sz w:val="18"/>
                      <w:szCs w:val="18"/>
                    </w:rPr>
                    <w:t>；设备定期检查、维修；加强对来院病人的引导等</w:t>
                  </w:r>
                </w:p>
              </w:tc>
              <w:tc>
                <w:tcPr>
                  <w:tcW w:w="709" w:type="dxa"/>
                  <w:tcBorders>
                    <w:top w:val="single" w:color="auto" w:sz="4" w:space="0"/>
                    <w:left w:val="single" w:color="auto" w:sz="4" w:space="0"/>
                    <w:bottom w:val="single" w:color="auto" w:sz="4" w:space="0"/>
                    <w:right w:val="single" w:color="auto" w:sz="4" w:space="0"/>
                  </w:tcBorders>
                  <w:vAlign w:val="center"/>
                </w:tcPr>
                <w:p w14:paraId="377CEC63">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宋体" w:hAnsi="宋体" w:eastAsia="宋体" w:cs="Times New Roman"/>
                      <w:color w:val="auto"/>
                      <w:kern w:val="2"/>
                      <w:sz w:val="18"/>
                      <w:szCs w:val="18"/>
                      <w:lang w:val="en-US" w:eastAsia="zh-CN" w:bidi="ar-SA"/>
                    </w:rPr>
                  </w:pPr>
                  <w:r>
                    <w:rPr>
                      <w:rFonts w:hint="eastAsia"/>
                      <w:color w:val="auto"/>
                      <w:sz w:val="18"/>
                      <w:szCs w:val="18"/>
                    </w:rPr>
                    <w:t>2</w:t>
                  </w:r>
                </w:p>
              </w:tc>
              <w:tc>
                <w:tcPr>
                  <w:tcW w:w="665" w:type="dxa"/>
                  <w:tcBorders>
                    <w:top w:val="single" w:color="auto" w:sz="4" w:space="0"/>
                    <w:left w:val="single" w:color="auto" w:sz="4" w:space="0"/>
                    <w:bottom w:val="single" w:color="auto" w:sz="4" w:space="0"/>
                    <w:right w:val="single" w:color="auto" w:sz="4" w:space="0"/>
                  </w:tcBorders>
                  <w:vAlign w:val="center"/>
                </w:tcPr>
                <w:p w14:paraId="72A4046D">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新建</w:t>
                  </w:r>
                </w:p>
              </w:tc>
            </w:tr>
            <w:tr w14:paraId="275D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vMerge w:val="restart"/>
                  <w:tcBorders>
                    <w:top w:val="nil"/>
                    <w:left w:val="single" w:color="auto" w:sz="4" w:space="0"/>
                    <w:bottom w:val="single" w:color="auto" w:sz="4" w:space="0"/>
                    <w:right w:val="single" w:color="auto" w:sz="4" w:space="0"/>
                  </w:tcBorders>
                  <w:vAlign w:val="center"/>
                </w:tcPr>
                <w:p w14:paraId="1ABB4EE0">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r>
                    <w:rPr>
                      <w:rFonts w:hint="default" w:ascii="宋体" w:hAnsi="宋体"/>
                      <w:color w:val="auto"/>
                      <w:sz w:val="18"/>
                      <w:szCs w:val="18"/>
                    </w:rPr>
                    <w:t>固废</w:t>
                  </w:r>
                </w:p>
                <w:p w14:paraId="4514F6D4">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r>
                    <w:rPr>
                      <w:rFonts w:hint="default" w:ascii="宋体" w:hAnsi="宋体"/>
                      <w:color w:val="auto"/>
                      <w:sz w:val="18"/>
                      <w:szCs w:val="18"/>
                    </w:rPr>
                    <w:t>处置</w:t>
                  </w:r>
                </w:p>
              </w:tc>
              <w:tc>
                <w:tcPr>
                  <w:tcW w:w="6004" w:type="dxa"/>
                  <w:tcBorders>
                    <w:top w:val="single" w:color="auto" w:sz="4" w:space="0"/>
                    <w:left w:val="single" w:color="auto" w:sz="4" w:space="0"/>
                    <w:bottom w:val="single" w:color="auto" w:sz="4" w:space="0"/>
                    <w:right w:val="single" w:color="auto" w:sz="4" w:space="0"/>
                  </w:tcBorders>
                  <w:vAlign w:val="center"/>
                </w:tcPr>
                <w:p w14:paraId="0CC353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left"/>
                    <w:textAlignment w:val="auto"/>
                    <w:rPr>
                      <w:rFonts w:hint="default" w:ascii="宋体" w:hAnsi="宋体" w:eastAsia="宋体" w:cs="Times New Roman"/>
                      <w:color w:val="auto"/>
                      <w:kern w:val="2"/>
                      <w:sz w:val="18"/>
                      <w:szCs w:val="18"/>
                      <w:lang w:val="en-US" w:eastAsia="zh-CN" w:bidi="ar-SA"/>
                    </w:rPr>
                  </w:pPr>
                  <w:r>
                    <w:rPr>
                      <w:rFonts w:hint="default" w:ascii="宋体" w:hAnsi="宋体"/>
                      <w:color w:val="auto"/>
                      <w:sz w:val="18"/>
                      <w:szCs w:val="18"/>
                    </w:rPr>
                    <w:t>医疗废物：设</w:t>
                  </w:r>
                  <w:r>
                    <w:rPr>
                      <w:rFonts w:hint="eastAsia" w:ascii="宋体" w:hAnsi="宋体"/>
                      <w:color w:val="auto"/>
                      <w:sz w:val="18"/>
                      <w:szCs w:val="18"/>
                    </w:rPr>
                    <w:t>危险废物暂存间</w:t>
                  </w:r>
                  <w:r>
                    <w:rPr>
                      <w:rFonts w:hint="eastAsia"/>
                      <w:color w:val="auto"/>
                      <w:sz w:val="18"/>
                      <w:szCs w:val="18"/>
                    </w:rPr>
                    <w:t>1</w:t>
                  </w:r>
                  <w:r>
                    <w:rPr>
                      <w:rFonts w:hint="eastAsia" w:ascii="宋体" w:hAnsi="宋体"/>
                      <w:color w:val="auto"/>
                      <w:sz w:val="18"/>
                      <w:szCs w:val="18"/>
                    </w:rPr>
                    <w:t>间，</w:t>
                  </w:r>
                  <w:r>
                    <w:rPr>
                      <w:rFonts w:hint="default" w:ascii="宋体" w:hAnsi="宋体"/>
                      <w:color w:val="auto"/>
                      <w:sz w:val="18"/>
                      <w:szCs w:val="18"/>
                    </w:rPr>
                    <w:t>暂存间采取</w:t>
                  </w:r>
                  <w:r>
                    <w:rPr>
                      <w:rFonts w:hint="default"/>
                      <w:color w:val="auto"/>
                      <w:sz w:val="18"/>
                      <w:szCs w:val="18"/>
                    </w:rPr>
                    <w:t>“</w:t>
                  </w:r>
                  <w:r>
                    <w:rPr>
                      <w:rFonts w:hint="default" w:ascii="宋体" w:hAnsi="宋体"/>
                      <w:color w:val="auto"/>
                      <w:sz w:val="18"/>
                      <w:szCs w:val="18"/>
                    </w:rPr>
                    <w:t>四防</w:t>
                  </w:r>
                  <w:r>
                    <w:rPr>
                      <w:rFonts w:hint="default"/>
                      <w:color w:val="auto"/>
                      <w:sz w:val="18"/>
                      <w:szCs w:val="18"/>
                    </w:rPr>
                    <w:t>”</w:t>
                  </w:r>
                  <w:r>
                    <w:rPr>
                      <w:rFonts w:hint="default" w:ascii="宋体" w:hAnsi="宋体"/>
                      <w:color w:val="auto"/>
                      <w:sz w:val="18"/>
                      <w:szCs w:val="18"/>
                    </w:rPr>
                    <w:t>措施，并设有警示标志</w:t>
                  </w:r>
                  <w:r>
                    <w:rPr>
                      <w:rFonts w:hint="eastAsia" w:ascii="宋体" w:hAnsi="宋体"/>
                      <w:color w:val="auto"/>
                      <w:sz w:val="18"/>
                      <w:szCs w:val="18"/>
                    </w:rPr>
                    <w:t>，</w:t>
                  </w:r>
                  <w:r>
                    <w:rPr>
                      <w:rFonts w:hint="default" w:ascii="宋体" w:hAnsi="宋体"/>
                      <w:color w:val="auto"/>
                      <w:sz w:val="18"/>
                      <w:szCs w:val="18"/>
                    </w:rPr>
                    <w:t>分别设置</w:t>
                  </w:r>
                  <w:r>
                    <w:rPr>
                      <w:rFonts w:hint="eastAsia" w:ascii="宋体" w:hAnsi="宋体"/>
                      <w:color w:val="auto"/>
                      <w:sz w:val="18"/>
                      <w:szCs w:val="18"/>
                    </w:rPr>
                    <w:t>各类危废的</w:t>
                  </w:r>
                  <w:r>
                    <w:rPr>
                      <w:rFonts w:hint="default" w:ascii="宋体" w:hAnsi="宋体"/>
                      <w:color w:val="auto"/>
                      <w:sz w:val="18"/>
                      <w:szCs w:val="18"/>
                    </w:rPr>
                    <w:t>专用储存容器，</w:t>
                  </w:r>
                  <w:r>
                    <w:rPr>
                      <w:rFonts w:hint="eastAsia" w:ascii="宋体" w:hAnsi="宋体"/>
                      <w:color w:val="auto"/>
                      <w:sz w:val="18"/>
                      <w:szCs w:val="18"/>
                    </w:rPr>
                    <w:t>定期</w:t>
                  </w:r>
                  <w:r>
                    <w:rPr>
                      <w:rFonts w:hint="default" w:ascii="宋体" w:hAnsi="宋体"/>
                      <w:color w:val="auto"/>
                      <w:sz w:val="18"/>
                      <w:szCs w:val="18"/>
                    </w:rPr>
                    <w:t>委托有资质的单位处置</w:t>
                  </w:r>
                </w:p>
              </w:tc>
              <w:tc>
                <w:tcPr>
                  <w:tcW w:w="709" w:type="dxa"/>
                  <w:tcBorders>
                    <w:top w:val="single" w:color="auto" w:sz="4" w:space="0"/>
                    <w:left w:val="single" w:color="auto" w:sz="4" w:space="0"/>
                    <w:bottom w:val="single" w:color="auto" w:sz="4" w:space="0"/>
                    <w:right w:val="single" w:color="auto" w:sz="4" w:space="0"/>
                  </w:tcBorders>
                  <w:vAlign w:val="center"/>
                </w:tcPr>
                <w:p w14:paraId="2BFCDBBA">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宋体" w:hAnsi="宋体" w:eastAsia="宋体" w:cs="Times New Roman"/>
                      <w:color w:val="auto"/>
                      <w:kern w:val="2"/>
                      <w:sz w:val="18"/>
                      <w:szCs w:val="18"/>
                      <w:lang w:val="en-US" w:eastAsia="zh-CN" w:bidi="ar-SA"/>
                    </w:rPr>
                  </w:pPr>
                  <w:r>
                    <w:rPr>
                      <w:rFonts w:hint="eastAsia"/>
                      <w:color w:val="auto"/>
                      <w:sz w:val="18"/>
                      <w:szCs w:val="18"/>
                    </w:rPr>
                    <w:t>/</w:t>
                  </w:r>
                </w:p>
              </w:tc>
              <w:tc>
                <w:tcPr>
                  <w:tcW w:w="665" w:type="dxa"/>
                  <w:tcBorders>
                    <w:top w:val="single" w:color="auto" w:sz="4" w:space="0"/>
                    <w:left w:val="single" w:color="auto" w:sz="4" w:space="0"/>
                    <w:bottom w:val="single" w:color="auto" w:sz="4" w:space="0"/>
                    <w:right w:val="single" w:color="auto" w:sz="4" w:space="0"/>
                  </w:tcBorders>
                  <w:vAlign w:val="center"/>
                </w:tcPr>
                <w:p w14:paraId="145E9BE5">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新建</w:t>
                  </w:r>
                </w:p>
              </w:tc>
            </w:tr>
            <w:tr w14:paraId="0FF2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vMerge w:val="continue"/>
                  <w:tcBorders>
                    <w:top w:val="nil"/>
                    <w:left w:val="single" w:color="auto" w:sz="4" w:space="0"/>
                    <w:bottom w:val="single" w:color="auto" w:sz="4" w:space="0"/>
                    <w:right w:val="single" w:color="auto" w:sz="4" w:space="0"/>
                  </w:tcBorders>
                  <w:vAlign w:val="center"/>
                </w:tcPr>
                <w:p w14:paraId="44F82A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default"/>
                      <w:color w:val="auto"/>
                      <w:sz w:val="18"/>
                      <w:szCs w:val="18"/>
                    </w:rPr>
                  </w:pPr>
                </w:p>
              </w:tc>
              <w:tc>
                <w:tcPr>
                  <w:tcW w:w="6004" w:type="dxa"/>
                  <w:tcBorders>
                    <w:top w:val="single" w:color="auto" w:sz="4" w:space="0"/>
                    <w:left w:val="single" w:color="auto" w:sz="4" w:space="0"/>
                    <w:bottom w:val="single" w:color="auto" w:sz="4" w:space="0"/>
                    <w:right w:val="single" w:color="auto" w:sz="4" w:space="0"/>
                  </w:tcBorders>
                  <w:vAlign w:val="center"/>
                </w:tcPr>
                <w:p w14:paraId="1C6CA0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left"/>
                    <w:textAlignment w:val="auto"/>
                    <w:rPr>
                      <w:rFonts w:hint="default" w:ascii="Times New Roman" w:hAnsi="Times New Roman" w:eastAsia="宋体" w:cs="Times New Roman"/>
                      <w:color w:val="auto"/>
                      <w:kern w:val="2"/>
                      <w:sz w:val="18"/>
                      <w:szCs w:val="18"/>
                      <w:lang w:val="en-US" w:eastAsia="zh-CN" w:bidi="ar-SA"/>
                    </w:rPr>
                  </w:pPr>
                  <w:r>
                    <w:rPr>
                      <w:rFonts w:hint="eastAsia" w:ascii="宋体" w:hAnsi="宋体"/>
                      <w:color w:val="auto"/>
                      <w:sz w:val="18"/>
                      <w:szCs w:val="18"/>
                    </w:rPr>
                    <w:t>医务人员</w:t>
                  </w:r>
                  <w:r>
                    <w:rPr>
                      <w:rFonts w:hint="default" w:ascii="宋体" w:hAnsi="宋体"/>
                      <w:color w:val="auto"/>
                      <w:sz w:val="18"/>
                      <w:szCs w:val="18"/>
                    </w:rPr>
                    <w:t>、门诊产生的生活垃圾</w:t>
                  </w:r>
                  <w:r>
                    <w:rPr>
                      <w:rFonts w:hint="eastAsia" w:ascii="宋体" w:hAnsi="宋体"/>
                      <w:color w:val="auto"/>
                      <w:sz w:val="18"/>
                      <w:szCs w:val="18"/>
                    </w:rPr>
                    <w:t>采用垃圾桶收集后交由环卫部门清运处理；</w:t>
                  </w:r>
                  <w:r>
                    <w:rPr>
                      <w:rFonts w:hint="default" w:ascii="宋体" w:hAnsi="宋体"/>
                      <w:color w:val="auto"/>
                      <w:sz w:val="18"/>
                      <w:szCs w:val="18"/>
                    </w:rPr>
                    <w:t>一次性输液瓶（袋）</w:t>
                  </w:r>
                  <w:r>
                    <w:rPr>
                      <w:rFonts w:hint="eastAsia" w:ascii="宋体" w:hAnsi="宋体"/>
                      <w:color w:val="auto"/>
                      <w:sz w:val="18"/>
                      <w:szCs w:val="18"/>
                      <w:lang w:val="en-US" w:eastAsia="zh-CN"/>
                    </w:rPr>
                    <w:t>等</w:t>
                  </w:r>
                  <w:r>
                    <w:rPr>
                      <w:rFonts w:hint="eastAsia" w:ascii="宋体" w:hAnsi="宋体"/>
                      <w:color w:val="auto"/>
                      <w:sz w:val="18"/>
                      <w:szCs w:val="18"/>
                    </w:rPr>
                    <w:t>一般废物，设置专用的房间收集后委托专门的处置单位处理；</w:t>
                  </w:r>
                </w:p>
              </w:tc>
              <w:tc>
                <w:tcPr>
                  <w:tcW w:w="709" w:type="dxa"/>
                  <w:tcBorders>
                    <w:top w:val="single" w:color="auto" w:sz="4" w:space="0"/>
                    <w:left w:val="single" w:color="auto" w:sz="4" w:space="0"/>
                    <w:bottom w:val="single" w:color="auto" w:sz="4" w:space="0"/>
                    <w:right w:val="single" w:color="auto" w:sz="4" w:space="0"/>
                  </w:tcBorders>
                  <w:vAlign w:val="center"/>
                </w:tcPr>
                <w:p w14:paraId="3C389A8D">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宋体" w:hAnsi="宋体" w:eastAsia="宋体" w:cs="Times New Roman"/>
                      <w:color w:val="auto"/>
                      <w:kern w:val="2"/>
                      <w:sz w:val="18"/>
                      <w:szCs w:val="18"/>
                      <w:lang w:val="en-US" w:eastAsia="zh-CN" w:bidi="ar-SA"/>
                    </w:rPr>
                  </w:pPr>
                  <w:r>
                    <w:rPr>
                      <w:rFonts w:hint="eastAsia"/>
                      <w:color w:val="auto"/>
                      <w:sz w:val="18"/>
                      <w:szCs w:val="18"/>
                    </w:rPr>
                    <w:t>/</w:t>
                  </w:r>
                </w:p>
              </w:tc>
              <w:tc>
                <w:tcPr>
                  <w:tcW w:w="665" w:type="dxa"/>
                  <w:tcBorders>
                    <w:top w:val="single" w:color="auto" w:sz="4" w:space="0"/>
                    <w:left w:val="single" w:color="auto" w:sz="4" w:space="0"/>
                    <w:bottom w:val="single" w:color="auto" w:sz="4" w:space="0"/>
                    <w:right w:val="single" w:color="auto" w:sz="4" w:space="0"/>
                  </w:tcBorders>
                  <w:vAlign w:val="center"/>
                </w:tcPr>
                <w:p w14:paraId="21DBB1FC">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ascii="Times New Roman" w:hAnsi="Times New Roman" w:eastAsia="宋体" w:cs="Times New Roman"/>
                      <w:color w:val="auto"/>
                      <w:kern w:val="2"/>
                      <w:sz w:val="18"/>
                      <w:szCs w:val="18"/>
                      <w:lang w:val="en-US" w:eastAsia="zh-CN" w:bidi="ar-SA"/>
                    </w:rPr>
                  </w:pPr>
                  <w:r>
                    <w:rPr>
                      <w:rFonts w:hint="default"/>
                      <w:color w:val="auto"/>
                      <w:sz w:val="18"/>
                      <w:szCs w:val="18"/>
                    </w:rPr>
                    <w:t>新建</w:t>
                  </w:r>
                </w:p>
              </w:tc>
            </w:tr>
            <w:tr w14:paraId="36F1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22" w:type="dxa"/>
                  <w:vMerge w:val="continue"/>
                  <w:tcBorders>
                    <w:top w:val="nil"/>
                    <w:left w:val="single" w:color="auto" w:sz="4" w:space="0"/>
                    <w:bottom w:val="single" w:color="auto" w:sz="4" w:space="0"/>
                    <w:right w:val="single" w:color="auto" w:sz="4" w:space="0"/>
                  </w:tcBorders>
                  <w:vAlign w:val="center"/>
                </w:tcPr>
                <w:p w14:paraId="517018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40" w:lineRule="exact"/>
                    <w:ind w:left="0" w:right="0"/>
                    <w:jc w:val="left"/>
                    <w:textAlignment w:val="auto"/>
                    <w:rPr>
                      <w:rFonts w:hint="default"/>
                      <w:color w:val="auto"/>
                      <w:sz w:val="18"/>
                      <w:szCs w:val="18"/>
                    </w:rPr>
                  </w:pPr>
                </w:p>
              </w:tc>
              <w:tc>
                <w:tcPr>
                  <w:tcW w:w="6004" w:type="dxa"/>
                  <w:tcBorders>
                    <w:top w:val="single" w:color="auto" w:sz="4" w:space="0"/>
                    <w:left w:val="single" w:color="auto" w:sz="4" w:space="0"/>
                    <w:bottom w:val="single" w:color="auto" w:sz="4" w:space="0"/>
                    <w:right w:val="single" w:color="auto" w:sz="4" w:space="0"/>
                  </w:tcBorders>
                  <w:vAlign w:val="center"/>
                </w:tcPr>
                <w:p w14:paraId="277BA3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left"/>
                    <w:textAlignment w:val="auto"/>
                    <w:rPr>
                      <w:rFonts w:hint="default"/>
                      <w:color w:val="auto"/>
                      <w:sz w:val="18"/>
                      <w:szCs w:val="18"/>
                    </w:rPr>
                  </w:pPr>
                  <w:r>
                    <w:rPr>
                      <w:rFonts w:hint="default" w:ascii="宋体" w:hAnsi="宋体"/>
                      <w:color w:val="auto"/>
                      <w:sz w:val="18"/>
                      <w:szCs w:val="18"/>
                    </w:rPr>
                    <w:t>污水设施的污泥：属于危险废物，定期清掏消杀后委托有资质的单位处理，纳入危废管理</w:t>
                  </w:r>
                </w:p>
              </w:tc>
              <w:tc>
                <w:tcPr>
                  <w:tcW w:w="709" w:type="dxa"/>
                  <w:tcBorders>
                    <w:top w:val="single" w:color="auto" w:sz="4" w:space="0"/>
                    <w:left w:val="single" w:color="auto" w:sz="4" w:space="0"/>
                    <w:bottom w:val="single" w:color="auto" w:sz="4" w:space="0"/>
                    <w:right w:val="single" w:color="auto" w:sz="4" w:space="0"/>
                  </w:tcBorders>
                  <w:vAlign w:val="center"/>
                </w:tcPr>
                <w:p w14:paraId="1F01B504">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r>
                    <w:rPr>
                      <w:rFonts w:hint="default"/>
                      <w:color w:val="auto"/>
                      <w:sz w:val="18"/>
                      <w:szCs w:val="18"/>
                    </w:rPr>
                    <w:t>/</w:t>
                  </w:r>
                </w:p>
              </w:tc>
              <w:tc>
                <w:tcPr>
                  <w:tcW w:w="665" w:type="dxa"/>
                  <w:tcBorders>
                    <w:top w:val="single" w:color="auto" w:sz="4" w:space="0"/>
                    <w:left w:val="single" w:color="auto" w:sz="4" w:space="0"/>
                    <w:bottom w:val="single" w:color="auto" w:sz="4" w:space="0"/>
                    <w:right w:val="single" w:color="auto" w:sz="4" w:space="0"/>
                  </w:tcBorders>
                  <w:vAlign w:val="center"/>
                </w:tcPr>
                <w:p w14:paraId="32410056">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r>
                    <w:rPr>
                      <w:rFonts w:hint="default" w:ascii="宋体" w:hAnsi="宋体"/>
                      <w:color w:val="auto"/>
                      <w:sz w:val="18"/>
                      <w:szCs w:val="18"/>
                    </w:rPr>
                    <w:t>运行</w:t>
                  </w:r>
                </w:p>
                <w:p w14:paraId="11863DB4">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r>
                    <w:rPr>
                      <w:rFonts w:hint="default" w:ascii="宋体" w:hAnsi="宋体"/>
                      <w:color w:val="auto"/>
                      <w:sz w:val="18"/>
                      <w:szCs w:val="18"/>
                    </w:rPr>
                    <w:t>费用</w:t>
                  </w:r>
                </w:p>
              </w:tc>
            </w:tr>
            <w:tr w14:paraId="27F7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6526" w:type="dxa"/>
                  <w:gridSpan w:val="2"/>
                  <w:tcBorders>
                    <w:top w:val="single" w:color="auto" w:sz="4" w:space="0"/>
                    <w:left w:val="single" w:color="auto" w:sz="4" w:space="0"/>
                    <w:bottom w:val="single" w:color="auto" w:sz="4" w:space="0"/>
                    <w:right w:val="single" w:color="auto" w:sz="4" w:space="0"/>
                  </w:tcBorders>
                  <w:vAlign w:val="center"/>
                </w:tcPr>
                <w:p w14:paraId="0E97AC64">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rPr>
                  </w:pPr>
                  <w:r>
                    <w:rPr>
                      <w:rFonts w:hint="default" w:ascii="宋体" w:hAnsi="宋体"/>
                      <w:color w:val="auto"/>
                      <w:sz w:val="18"/>
                      <w:szCs w:val="18"/>
                    </w:rPr>
                    <w:t>合计</w:t>
                  </w:r>
                </w:p>
              </w:tc>
              <w:tc>
                <w:tcPr>
                  <w:tcW w:w="709" w:type="dxa"/>
                  <w:tcBorders>
                    <w:top w:val="single" w:color="auto" w:sz="4" w:space="0"/>
                    <w:left w:val="single" w:color="auto" w:sz="4" w:space="0"/>
                    <w:bottom w:val="single" w:color="auto" w:sz="4" w:space="0"/>
                    <w:right w:val="single" w:color="auto" w:sz="4" w:space="0"/>
                  </w:tcBorders>
                  <w:vAlign w:val="center"/>
                </w:tcPr>
                <w:p w14:paraId="5321F31D">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eastAsia="宋体"/>
                      <w:color w:val="auto"/>
                      <w:sz w:val="18"/>
                      <w:szCs w:val="18"/>
                      <w:lang w:val="en-US" w:eastAsia="zh-CN"/>
                    </w:rPr>
                  </w:pPr>
                  <w:r>
                    <w:rPr>
                      <w:rFonts w:hint="eastAsia"/>
                      <w:color w:val="auto"/>
                      <w:sz w:val="18"/>
                      <w:szCs w:val="18"/>
                      <w:lang w:val="en-US" w:eastAsia="zh-CN"/>
                    </w:rPr>
                    <w:t>56.0</w:t>
                  </w:r>
                </w:p>
              </w:tc>
              <w:tc>
                <w:tcPr>
                  <w:tcW w:w="665" w:type="dxa"/>
                  <w:tcBorders>
                    <w:top w:val="single" w:color="auto" w:sz="4" w:space="0"/>
                    <w:left w:val="single" w:color="auto" w:sz="4" w:space="0"/>
                    <w:bottom w:val="single" w:color="auto" w:sz="4" w:space="0"/>
                    <w:right w:val="single" w:color="auto" w:sz="4" w:space="0"/>
                  </w:tcBorders>
                  <w:vAlign w:val="center"/>
                </w:tcPr>
                <w:p w14:paraId="641C1A11">
                  <w:pPr>
                    <w:pStyle w:val="2"/>
                    <w:keepNext w:val="0"/>
                    <w:keepLines w:val="0"/>
                    <w:pageBreakBefore w:val="0"/>
                    <w:suppressLineNumbers w:val="0"/>
                    <w:kinsoku/>
                    <w:wordWrap/>
                    <w:overflowPunct/>
                    <w:topLinePunct w:val="0"/>
                    <w:autoSpaceDE/>
                    <w:autoSpaceDN/>
                    <w:bidi w:val="0"/>
                    <w:adjustRightInd/>
                    <w:snapToGrid/>
                    <w:spacing w:before="0" w:beforeAutospacing="0" w:after="0" w:afterAutospacing="0" w:line="340" w:lineRule="exact"/>
                    <w:ind w:left="-71" w:leftChars="-34" w:right="-71" w:rightChars="-34"/>
                    <w:jc w:val="center"/>
                    <w:textAlignment w:val="auto"/>
                    <w:rPr>
                      <w:rFonts w:hint="default"/>
                      <w:color w:val="auto"/>
                      <w:sz w:val="18"/>
                      <w:szCs w:val="18"/>
                      <w:highlight w:val="green"/>
                    </w:rPr>
                  </w:pPr>
                  <w:r>
                    <w:rPr>
                      <w:rFonts w:hint="eastAsia"/>
                      <w:color w:val="auto"/>
                      <w:sz w:val="18"/>
                      <w:szCs w:val="18"/>
                      <w:highlight w:val="none"/>
                      <w:lang w:val="en-US" w:eastAsia="zh-CN"/>
                    </w:rPr>
                    <w:t>26.0</w:t>
                  </w:r>
                  <w:r>
                    <w:rPr>
                      <w:rFonts w:hint="default"/>
                      <w:color w:val="auto"/>
                      <w:sz w:val="18"/>
                      <w:szCs w:val="18"/>
                      <w:highlight w:val="none"/>
                    </w:rPr>
                    <w:t>%</w:t>
                  </w:r>
                </w:p>
              </w:tc>
            </w:tr>
          </w:tbl>
          <w:p w14:paraId="6A04E52E">
            <w:pPr>
              <w:pStyle w:val="2"/>
              <w:keepNext w:val="0"/>
              <w:keepLines w:val="0"/>
              <w:suppressLineNumbers w:val="0"/>
              <w:spacing w:before="0" w:beforeAutospacing="0" w:after="0" w:afterAutospacing="0" w:line="100" w:lineRule="exact"/>
              <w:ind w:right="0"/>
              <w:rPr>
                <w:rFonts w:hint="default"/>
                <w:color w:val="auto"/>
              </w:rPr>
            </w:pPr>
          </w:p>
          <w:p w14:paraId="290334EF">
            <w:pPr>
              <w:pStyle w:val="4"/>
              <w:keepNext w:val="0"/>
              <w:keepLines w:val="0"/>
              <w:suppressLineNumbers w:val="0"/>
              <w:spacing w:before="0" w:beforeAutospacing="0" w:after="0" w:afterAutospacing="0" w:line="100" w:lineRule="exact"/>
              <w:ind w:right="0"/>
              <w:rPr>
                <w:rFonts w:hint="default"/>
                <w:color w:val="auto"/>
              </w:rPr>
            </w:pPr>
          </w:p>
          <w:p w14:paraId="24690343">
            <w:pPr>
              <w:pStyle w:val="4"/>
              <w:keepNext w:val="0"/>
              <w:keepLines w:val="0"/>
              <w:suppressLineNumbers w:val="0"/>
              <w:spacing w:before="0" w:beforeAutospacing="0" w:after="0" w:afterAutospacing="0" w:line="100" w:lineRule="exact"/>
              <w:ind w:right="0"/>
              <w:rPr>
                <w:rFonts w:hint="default"/>
                <w:color w:val="auto"/>
              </w:rPr>
            </w:pPr>
          </w:p>
          <w:p w14:paraId="51601F32">
            <w:pPr>
              <w:pStyle w:val="4"/>
              <w:keepNext w:val="0"/>
              <w:keepLines w:val="0"/>
              <w:suppressLineNumbers w:val="0"/>
              <w:spacing w:before="0" w:beforeAutospacing="0" w:after="0" w:afterAutospacing="0" w:line="100" w:lineRule="exact"/>
              <w:ind w:right="0"/>
              <w:rPr>
                <w:rFonts w:hint="default"/>
                <w:color w:val="auto"/>
              </w:rPr>
            </w:pPr>
          </w:p>
          <w:p w14:paraId="394B692A">
            <w:pPr>
              <w:pStyle w:val="4"/>
              <w:keepNext w:val="0"/>
              <w:keepLines w:val="0"/>
              <w:suppressLineNumbers w:val="0"/>
              <w:spacing w:before="0" w:beforeAutospacing="0" w:after="0" w:afterAutospacing="0" w:line="100" w:lineRule="exact"/>
              <w:ind w:right="0"/>
              <w:rPr>
                <w:rFonts w:hint="default"/>
                <w:color w:val="auto"/>
              </w:rPr>
            </w:pPr>
          </w:p>
          <w:p w14:paraId="109BF6E4">
            <w:pPr>
              <w:pStyle w:val="4"/>
              <w:keepNext w:val="0"/>
              <w:keepLines w:val="0"/>
              <w:suppressLineNumbers w:val="0"/>
              <w:spacing w:before="0" w:beforeAutospacing="0" w:after="0" w:afterAutospacing="0" w:line="100" w:lineRule="exact"/>
              <w:ind w:right="0"/>
              <w:rPr>
                <w:rFonts w:hint="default"/>
                <w:color w:val="auto"/>
              </w:rPr>
            </w:pPr>
          </w:p>
          <w:p w14:paraId="78EEE68B">
            <w:pPr>
              <w:pStyle w:val="4"/>
              <w:keepNext w:val="0"/>
              <w:keepLines w:val="0"/>
              <w:suppressLineNumbers w:val="0"/>
              <w:spacing w:before="0" w:beforeAutospacing="0" w:after="0" w:afterAutospacing="0" w:line="100" w:lineRule="exact"/>
              <w:ind w:right="0"/>
              <w:rPr>
                <w:rFonts w:hint="default"/>
                <w:color w:val="auto"/>
              </w:rPr>
            </w:pPr>
          </w:p>
          <w:p w14:paraId="123D40F0">
            <w:pPr>
              <w:pStyle w:val="4"/>
              <w:keepNext w:val="0"/>
              <w:keepLines w:val="0"/>
              <w:suppressLineNumbers w:val="0"/>
              <w:spacing w:before="0" w:beforeAutospacing="0" w:after="0" w:afterAutospacing="0" w:line="100" w:lineRule="exact"/>
              <w:ind w:right="0"/>
              <w:rPr>
                <w:rFonts w:hint="default"/>
                <w:color w:val="auto"/>
              </w:rPr>
            </w:pPr>
          </w:p>
          <w:p w14:paraId="4D5EFA61">
            <w:pPr>
              <w:pStyle w:val="4"/>
              <w:keepNext w:val="0"/>
              <w:keepLines w:val="0"/>
              <w:suppressLineNumbers w:val="0"/>
              <w:spacing w:before="0" w:beforeAutospacing="0" w:after="0" w:afterAutospacing="0" w:line="100" w:lineRule="exact"/>
              <w:ind w:right="0"/>
              <w:rPr>
                <w:rFonts w:hint="default"/>
                <w:color w:val="auto"/>
              </w:rPr>
            </w:pPr>
          </w:p>
          <w:p w14:paraId="46538AA2">
            <w:pPr>
              <w:pStyle w:val="4"/>
              <w:keepNext w:val="0"/>
              <w:keepLines w:val="0"/>
              <w:suppressLineNumbers w:val="0"/>
              <w:spacing w:before="0" w:beforeAutospacing="0" w:after="0" w:afterAutospacing="0" w:line="100" w:lineRule="exact"/>
              <w:ind w:right="0"/>
              <w:rPr>
                <w:rFonts w:hint="default"/>
                <w:color w:val="auto"/>
              </w:rPr>
            </w:pPr>
          </w:p>
          <w:p w14:paraId="49352C98">
            <w:pPr>
              <w:pStyle w:val="4"/>
              <w:keepNext w:val="0"/>
              <w:keepLines w:val="0"/>
              <w:suppressLineNumbers w:val="0"/>
              <w:spacing w:before="0" w:beforeAutospacing="0" w:after="0" w:afterAutospacing="0" w:line="100" w:lineRule="exact"/>
              <w:ind w:right="0"/>
              <w:rPr>
                <w:rFonts w:hint="default"/>
                <w:color w:val="auto"/>
              </w:rPr>
            </w:pPr>
          </w:p>
          <w:p w14:paraId="44EEB319">
            <w:pPr>
              <w:pStyle w:val="4"/>
              <w:keepNext w:val="0"/>
              <w:keepLines w:val="0"/>
              <w:suppressLineNumbers w:val="0"/>
              <w:spacing w:before="0" w:beforeAutospacing="0" w:after="0" w:afterAutospacing="0" w:line="100" w:lineRule="exact"/>
              <w:ind w:right="0"/>
              <w:rPr>
                <w:rFonts w:hint="default"/>
                <w:color w:val="auto"/>
              </w:rPr>
            </w:pPr>
          </w:p>
          <w:p w14:paraId="72AABB69">
            <w:pPr>
              <w:pStyle w:val="4"/>
              <w:keepNext w:val="0"/>
              <w:keepLines w:val="0"/>
              <w:suppressLineNumbers w:val="0"/>
              <w:spacing w:before="0" w:beforeAutospacing="0" w:after="0" w:afterAutospacing="0" w:line="100" w:lineRule="exact"/>
              <w:ind w:right="0"/>
              <w:rPr>
                <w:rFonts w:hint="default"/>
                <w:color w:val="auto"/>
              </w:rPr>
            </w:pPr>
          </w:p>
          <w:p w14:paraId="5B310EF1">
            <w:pPr>
              <w:pStyle w:val="4"/>
              <w:keepNext w:val="0"/>
              <w:keepLines w:val="0"/>
              <w:suppressLineNumbers w:val="0"/>
              <w:spacing w:before="0" w:beforeAutospacing="0" w:after="0" w:afterAutospacing="0" w:line="100" w:lineRule="exact"/>
              <w:ind w:right="0"/>
              <w:rPr>
                <w:rFonts w:hint="default"/>
                <w:color w:val="auto"/>
              </w:rPr>
            </w:pPr>
          </w:p>
          <w:p w14:paraId="793CA938">
            <w:pPr>
              <w:pStyle w:val="4"/>
              <w:keepNext w:val="0"/>
              <w:keepLines w:val="0"/>
              <w:suppressLineNumbers w:val="0"/>
              <w:spacing w:before="0" w:beforeAutospacing="0" w:after="0" w:afterAutospacing="0" w:line="100" w:lineRule="exact"/>
              <w:ind w:right="0"/>
              <w:rPr>
                <w:rFonts w:hint="default"/>
                <w:color w:val="auto"/>
              </w:rPr>
            </w:pPr>
          </w:p>
          <w:p w14:paraId="72B42E6E">
            <w:pPr>
              <w:pStyle w:val="4"/>
              <w:keepNext w:val="0"/>
              <w:keepLines w:val="0"/>
              <w:suppressLineNumbers w:val="0"/>
              <w:spacing w:before="0" w:beforeAutospacing="0" w:after="0" w:afterAutospacing="0" w:line="100" w:lineRule="exact"/>
              <w:ind w:right="0"/>
              <w:rPr>
                <w:rFonts w:hint="default"/>
                <w:color w:val="auto"/>
              </w:rPr>
            </w:pPr>
          </w:p>
          <w:p w14:paraId="5E0B9FEA">
            <w:pPr>
              <w:pStyle w:val="4"/>
              <w:keepNext w:val="0"/>
              <w:keepLines w:val="0"/>
              <w:suppressLineNumbers w:val="0"/>
              <w:spacing w:before="0" w:beforeAutospacing="0" w:after="0" w:afterAutospacing="0" w:line="100" w:lineRule="exact"/>
              <w:ind w:right="0"/>
              <w:rPr>
                <w:rFonts w:hint="default"/>
                <w:color w:val="auto"/>
              </w:rPr>
            </w:pPr>
          </w:p>
          <w:p w14:paraId="7AE32D53">
            <w:pPr>
              <w:pStyle w:val="4"/>
              <w:keepNext w:val="0"/>
              <w:keepLines w:val="0"/>
              <w:suppressLineNumbers w:val="0"/>
              <w:spacing w:before="0" w:beforeAutospacing="0" w:after="0" w:afterAutospacing="0" w:line="100" w:lineRule="exact"/>
              <w:ind w:right="0"/>
              <w:rPr>
                <w:rFonts w:hint="default"/>
                <w:color w:val="auto"/>
              </w:rPr>
            </w:pPr>
          </w:p>
          <w:p w14:paraId="038F4148">
            <w:pPr>
              <w:pStyle w:val="4"/>
              <w:keepNext w:val="0"/>
              <w:keepLines w:val="0"/>
              <w:suppressLineNumbers w:val="0"/>
              <w:spacing w:before="0" w:beforeAutospacing="0" w:after="0" w:afterAutospacing="0" w:line="100" w:lineRule="exact"/>
              <w:ind w:right="0"/>
              <w:rPr>
                <w:rFonts w:hint="default"/>
                <w:color w:val="auto"/>
              </w:rPr>
            </w:pPr>
          </w:p>
          <w:p w14:paraId="4CC72460">
            <w:pPr>
              <w:pStyle w:val="4"/>
              <w:keepNext w:val="0"/>
              <w:keepLines w:val="0"/>
              <w:suppressLineNumbers w:val="0"/>
              <w:spacing w:before="0" w:beforeAutospacing="0" w:after="0" w:afterAutospacing="0" w:line="100" w:lineRule="exact"/>
              <w:ind w:right="0"/>
              <w:rPr>
                <w:rFonts w:hint="default"/>
                <w:color w:val="auto"/>
              </w:rPr>
            </w:pPr>
          </w:p>
          <w:p w14:paraId="1033E1F0">
            <w:pPr>
              <w:pStyle w:val="4"/>
              <w:keepNext w:val="0"/>
              <w:keepLines w:val="0"/>
              <w:suppressLineNumbers w:val="0"/>
              <w:spacing w:before="0" w:beforeAutospacing="0" w:after="0" w:afterAutospacing="0" w:line="100" w:lineRule="exact"/>
              <w:ind w:right="0"/>
              <w:rPr>
                <w:rFonts w:hint="default"/>
                <w:color w:val="auto"/>
              </w:rPr>
            </w:pPr>
          </w:p>
          <w:p w14:paraId="17016BD9">
            <w:pPr>
              <w:pStyle w:val="4"/>
              <w:keepNext w:val="0"/>
              <w:keepLines w:val="0"/>
              <w:suppressLineNumbers w:val="0"/>
              <w:spacing w:before="0" w:beforeAutospacing="0" w:after="0" w:afterAutospacing="0" w:line="100" w:lineRule="exact"/>
              <w:ind w:right="0"/>
              <w:rPr>
                <w:rFonts w:hint="default"/>
                <w:color w:val="auto"/>
              </w:rPr>
            </w:pPr>
          </w:p>
          <w:p w14:paraId="35EA3650">
            <w:pPr>
              <w:pStyle w:val="4"/>
              <w:keepNext w:val="0"/>
              <w:keepLines w:val="0"/>
              <w:suppressLineNumbers w:val="0"/>
              <w:spacing w:before="0" w:beforeAutospacing="0" w:after="0" w:afterAutospacing="0" w:line="100" w:lineRule="exact"/>
              <w:ind w:right="0"/>
              <w:rPr>
                <w:rFonts w:hint="default"/>
                <w:color w:val="auto"/>
              </w:rPr>
            </w:pPr>
          </w:p>
          <w:p w14:paraId="1E6795F4">
            <w:pPr>
              <w:pStyle w:val="4"/>
              <w:keepNext w:val="0"/>
              <w:keepLines w:val="0"/>
              <w:suppressLineNumbers w:val="0"/>
              <w:spacing w:before="0" w:beforeAutospacing="0" w:after="0" w:afterAutospacing="0" w:line="100" w:lineRule="exact"/>
              <w:ind w:right="0"/>
              <w:rPr>
                <w:rFonts w:hint="default"/>
                <w:color w:val="auto"/>
              </w:rPr>
            </w:pPr>
          </w:p>
          <w:p w14:paraId="20A25AF2">
            <w:pPr>
              <w:pStyle w:val="4"/>
              <w:keepNext w:val="0"/>
              <w:keepLines w:val="0"/>
              <w:suppressLineNumbers w:val="0"/>
              <w:spacing w:before="0" w:beforeAutospacing="0" w:after="0" w:afterAutospacing="0" w:line="100" w:lineRule="exact"/>
              <w:ind w:right="0"/>
              <w:rPr>
                <w:rFonts w:hint="default"/>
                <w:color w:val="auto"/>
              </w:rPr>
            </w:pPr>
          </w:p>
          <w:p w14:paraId="4E50273E">
            <w:pPr>
              <w:pStyle w:val="4"/>
              <w:keepNext w:val="0"/>
              <w:keepLines w:val="0"/>
              <w:suppressLineNumbers w:val="0"/>
              <w:spacing w:before="0" w:beforeAutospacing="0" w:after="0" w:afterAutospacing="0" w:line="100" w:lineRule="exact"/>
              <w:ind w:right="0"/>
              <w:rPr>
                <w:rFonts w:hint="default"/>
                <w:color w:val="auto"/>
              </w:rPr>
            </w:pPr>
          </w:p>
          <w:p w14:paraId="63980975">
            <w:pPr>
              <w:pStyle w:val="4"/>
              <w:keepNext w:val="0"/>
              <w:keepLines w:val="0"/>
              <w:suppressLineNumbers w:val="0"/>
              <w:spacing w:before="0" w:beforeAutospacing="0" w:after="0" w:afterAutospacing="0" w:line="100" w:lineRule="exact"/>
              <w:ind w:right="0"/>
              <w:rPr>
                <w:rFonts w:hint="default"/>
                <w:color w:val="auto"/>
              </w:rPr>
            </w:pPr>
          </w:p>
          <w:p w14:paraId="11819CA3">
            <w:pPr>
              <w:pStyle w:val="4"/>
              <w:keepNext w:val="0"/>
              <w:keepLines w:val="0"/>
              <w:suppressLineNumbers w:val="0"/>
              <w:spacing w:before="0" w:beforeAutospacing="0" w:after="0" w:afterAutospacing="0" w:line="100" w:lineRule="exact"/>
              <w:ind w:right="0"/>
              <w:rPr>
                <w:rFonts w:hint="default"/>
                <w:color w:val="auto"/>
              </w:rPr>
            </w:pPr>
          </w:p>
          <w:p w14:paraId="056FCEEA">
            <w:pPr>
              <w:pStyle w:val="4"/>
              <w:keepNext w:val="0"/>
              <w:keepLines w:val="0"/>
              <w:suppressLineNumbers w:val="0"/>
              <w:spacing w:before="0" w:beforeAutospacing="0" w:after="0" w:afterAutospacing="0" w:line="100" w:lineRule="exact"/>
              <w:ind w:right="0"/>
              <w:rPr>
                <w:rFonts w:hint="default"/>
                <w:color w:val="auto"/>
              </w:rPr>
            </w:pPr>
          </w:p>
          <w:p w14:paraId="364E42E6">
            <w:pPr>
              <w:pStyle w:val="4"/>
              <w:keepNext w:val="0"/>
              <w:keepLines w:val="0"/>
              <w:suppressLineNumbers w:val="0"/>
              <w:spacing w:before="0" w:beforeAutospacing="0" w:after="0" w:afterAutospacing="0" w:line="100" w:lineRule="exact"/>
              <w:ind w:right="0"/>
              <w:rPr>
                <w:rFonts w:hint="default"/>
                <w:color w:val="auto"/>
              </w:rPr>
            </w:pPr>
          </w:p>
          <w:p w14:paraId="02B473A8">
            <w:pPr>
              <w:pStyle w:val="4"/>
              <w:keepNext w:val="0"/>
              <w:keepLines w:val="0"/>
              <w:suppressLineNumbers w:val="0"/>
              <w:spacing w:before="0" w:beforeAutospacing="0" w:after="0" w:afterAutospacing="0" w:line="100" w:lineRule="exact"/>
              <w:ind w:right="0"/>
              <w:rPr>
                <w:rFonts w:hint="default"/>
                <w:color w:val="auto"/>
              </w:rPr>
            </w:pPr>
          </w:p>
          <w:p w14:paraId="3DF8D1D4">
            <w:pPr>
              <w:pStyle w:val="4"/>
              <w:keepNext w:val="0"/>
              <w:keepLines w:val="0"/>
              <w:suppressLineNumbers w:val="0"/>
              <w:spacing w:before="0" w:beforeAutospacing="0" w:after="0" w:afterAutospacing="0" w:line="100" w:lineRule="exact"/>
              <w:ind w:right="0"/>
              <w:rPr>
                <w:rFonts w:hint="default"/>
                <w:color w:val="auto"/>
              </w:rPr>
            </w:pPr>
          </w:p>
          <w:p w14:paraId="2CC2E8DA">
            <w:pPr>
              <w:pStyle w:val="4"/>
              <w:keepNext w:val="0"/>
              <w:keepLines w:val="0"/>
              <w:suppressLineNumbers w:val="0"/>
              <w:spacing w:before="0" w:beforeAutospacing="0" w:after="0" w:afterAutospacing="0" w:line="100" w:lineRule="exact"/>
              <w:ind w:right="0"/>
              <w:rPr>
                <w:rFonts w:hint="default"/>
                <w:color w:val="auto"/>
              </w:rPr>
            </w:pPr>
          </w:p>
          <w:p w14:paraId="5E01910D">
            <w:pPr>
              <w:pStyle w:val="4"/>
              <w:keepNext w:val="0"/>
              <w:keepLines w:val="0"/>
              <w:suppressLineNumbers w:val="0"/>
              <w:spacing w:before="0" w:beforeAutospacing="0" w:after="0" w:afterAutospacing="0" w:line="100" w:lineRule="exact"/>
              <w:ind w:right="0"/>
              <w:rPr>
                <w:rFonts w:hint="default"/>
                <w:color w:val="auto"/>
              </w:rPr>
            </w:pPr>
          </w:p>
          <w:p w14:paraId="251A11C6">
            <w:pPr>
              <w:pStyle w:val="4"/>
              <w:keepNext w:val="0"/>
              <w:keepLines w:val="0"/>
              <w:suppressLineNumbers w:val="0"/>
              <w:spacing w:before="0" w:beforeAutospacing="0" w:after="0" w:afterAutospacing="0" w:line="100" w:lineRule="exact"/>
              <w:ind w:right="0"/>
              <w:rPr>
                <w:rFonts w:hint="default"/>
                <w:color w:val="auto"/>
              </w:rPr>
            </w:pPr>
          </w:p>
          <w:p w14:paraId="0C581236">
            <w:pPr>
              <w:pStyle w:val="4"/>
              <w:keepNext w:val="0"/>
              <w:keepLines w:val="0"/>
              <w:suppressLineNumbers w:val="0"/>
              <w:spacing w:before="0" w:beforeAutospacing="0" w:after="0" w:afterAutospacing="0" w:line="100" w:lineRule="exact"/>
              <w:ind w:right="0"/>
              <w:rPr>
                <w:rFonts w:hint="default"/>
                <w:color w:val="auto"/>
              </w:rPr>
            </w:pPr>
          </w:p>
          <w:p w14:paraId="3516A246">
            <w:pPr>
              <w:pStyle w:val="4"/>
              <w:keepNext w:val="0"/>
              <w:keepLines w:val="0"/>
              <w:suppressLineNumbers w:val="0"/>
              <w:spacing w:before="0" w:beforeAutospacing="0" w:after="0" w:afterAutospacing="0" w:line="100" w:lineRule="exact"/>
              <w:ind w:right="0"/>
              <w:rPr>
                <w:rFonts w:hint="default"/>
                <w:color w:val="auto"/>
              </w:rPr>
            </w:pPr>
          </w:p>
          <w:p w14:paraId="0A782E4C">
            <w:pPr>
              <w:pStyle w:val="4"/>
              <w:keepNext w:val="0"/>
              <w:keepLines w:val="0"/>
              <w:suppressLineNumbers w:val="0"/>
              <w:spacing w:before="0" w:beforeAutospacing="0" w:after="0" w:afterAutospacing="0" w:line="100" w:lineRule="exact"/>
              <w:ind w:right="0"/>
              <w:rPr>
                <w:rFonts w:hint="default"/>
                <w:color w:val="auto"/>
              </w:rPr>
            </w:pPr>
          </w:p>
          <w:p w14:paraId="4E2A550D">
            <w:pPr>
              <w:pStyle w:val="4"/>
              <w:keepNext w:val="0"/>
              <w:keepLines w:val="0"/>
              <w:suppressLineNumbers w:val="0"/>
              <w:spacing w:before="0" w:beforeAutospacing="0" w:after="0" w:afterAutospacing="0" w:line="100" w:lineRule="exact"/>
              <w:ind w:right="0"/>
              <w:rPr>
                <w:rFonts w:hint="default"/>
                <w:color w:val="auto"/>
              </w:rPr>
            </w:pPr>
          </w:p>
          <w:p w14:paraId="16CD0938">
            <w:pPr>
              <w:pStyle w:val="4"/>
              <w:keepNext w:val="0"/>
              <w:keepLines w:val="0"/>
              <w:suppressLineNumbers w:val="0"/>
              <w:spacing w:before="0" w:beforeAutospacing="0" w:after="0" w:afterAutospacing="0" w:line="100" w:lineRule="exact"/>
              <w:ind w:right="0"/>
              <w:rPr>
                <w:rFonts w:hint="default"/>
                <w:color w:val="auto"/>
              </w:rPr>
            </w:pPr>
          </w:p>
          <w:p w14:paraId="53DE3516">
            <w:pPr>
              <w:pStyle w:val="4"/>
              <w:keepNext w:val="0"/>
              <w:keepLines w:val="0"/>
              <w:suppressLineNumbers w:val="0"/>
              <w:spacing w:before="0" w:beforeAutospacing="0" w:after="0" w:afterAutospacing="0" w:line="100" w:lineRule="exact"/>
              <w:ind w:right="0"/>
              <w:rPr>
                <w:rFonts w:hint="default"/>
                <w:color w:val="auto"/>
              </w:rPr>
            </w:pPr>
          </w:p>
          <w:p w14:paraId="7BD2F5F7">
            <w:pPr>
              <w:pStyle w:val="4"/>
              <w:keepNext w:val="0"/>
              <w:keepLines w:val="0"/>
              <w:suppressLineNumbers w:val="0"/>
              <w:spacing w:before="0" w:beforeAutospacing="0" w:after="0" w:afterAutospacing="0" w:line="100" w:lineRule="exact"/>
              <w:ind w:right="0"/>
              <w:rPr>
                <w:rFonts w:hint="default"/>
                <w:color w:val="auto"/>
              </w:rPr>
            </w:pPr>
          </w:p>
          <w:p w14:paraId="7044CFBD">
            <w:pPr>
              <w:pStyle w:val="4"/>
              <w:keepNext w:val="0"/>
              <w:keepLines w:val="0"/>
              <w:suppressLineNumbers w:val="0"/>
              <w:spacing w:before="0" w:beforeAutospacing="0" w:after="0" w:afterAutospacing="0" w:line="100" w:lineRule="exact"/>
              <w:ind w:right="0"/>
              <w:rPr>
                <w:rFonts w:hint="default"/>
                <w:color w:val="auto"/>
              </w:rPr>
            </w:pPr>
          </w:p>
          <w:p w14:paraId="32497E39">
            <w:pPr>
              <w:pStyle w:val="4"/>
              <w:keepNext w:val="0"/>
              <w:keepLines w:val="0"/>
              <w:suppressLineNumbers w:val="0"/>
              <w:spacing w:before="0" w:beforeAutospacing="0" w:after="0" w:afterAutospacing="0" w:line="100" w:lineRule="exact"/>
              <w:ind w:right="0"/>
              <w:rPr>
                <w:rFonts w:hint="default"/>
                <w:color w:val="auto"/>
              </w:rPr>
            </w:pPr>
          </w:p>
          <w:p w14:paraId="2B8E331A">
            <w:pPr>
              <w:pStyle w:val="4"/>
              <w:keepNext w:val="0"/>
              <w:keepLines w:val="0"/>
              <w:suppressLineNumbers w:val="0"/>
              <w:spacing w:before="0" w:beforeAutospacing="0" w:after="0" w:afterAutospacing="0" w:line="100" w:lineRule="exact"/>
              <w:ind w:right="0"/>
              <w:rPr>
                <w:rFonts w:hint="default"/>
                <w:color w:val="auto"/>
              </w:rPr>
            </w:pPr>
          </w:p>
          <w:p w14:paraId="4D70AABB">
            <w:pPr>
              <w:pStyle w:val="4"/>
              <w:keepNext w:val="0"/>
              <w:keepLines w:val="0"/>
              <w:suppressLineNumbers w:val="0"/>
              <w:spacing w:before="0" w:beforeAutospacing="0" w:after="0" w:afterAutospacing="0" w:line="100" w:lineRule="exact"/>
              <w:ind w:right="0"/>
              <w:rPr>
                <w:rFonts w:hint="default"/>
                <w:color w:val="auto"/>
              </w:rPr>
            </w:pPr>
          </w:p>
        </w:tc>
      </w:tr>
    </w:tbl>
    <w:p w14:paraId="56C818E4">
      <w:pPr>
        <w:widowControl/>
        <w:spacing w:line="360" w:lineRule="auto"/>
        <w:jc w:val="left"/>
        <w:rPr>
          <w:rFonts w:cs="宋体"/>
          <w:b/>
          <w:color w:val="auto"/>
          <w:kern w:val="0"/>
          <w:sz w:val="28"/>
          <w:szCs w:val="28"/>
        </w:rPr>
        <w:sectPr>
          <w:pgSz w:w="11907" w:h="16840"/>
          <w:pgMar w:top="1701" w:right="1531" w:bottom="1701" w:left="1531" w:header="851" w:footer="851" w:gutter="0"/>
          <w:pgNumType w:fmt="numberInDash"/>
          <w:cols w:space="720" w:num="1"/>
        </w:sectPr>
      </w:pPr>
    </w:p>
    <w:p w14:paraId="0FD175C6">
      <w:pPr>
        <w:pStyle w:val="12"/>
        <w:jc w:val="center"/>
        <w:outlineLvl w:val="0"/>
        <w:rPr>
          <w:rFonts w:ascii="Times New Roman" w:hAnsi="Times New Roman" w:eastAsia="黑体" w:cs="Times New Roman"/>
          <w:snapToGrid w:val="0"/>
          <w:color w:val="auto"/>
          <w:kern w:val="0"/>
          <w:sz w:val="30"/>
          <w:szCs w:val="30"/>
        </w:rPr>
      </w:pPr>
      <w:r>
        <w:rPr>
          <w:rFonts w:hint="eastAsia" w:ascii="Times New Roman" w:hAnsi="Times New Roman" w:eastAsia="黑体"/>
          <w:snapToGrid w:val="0"/>
          <w:color w:val="auto"/>
          <w:sz w:val="30"/>
          <w:szCs w:val="30"/>
        </w:rPr>
        <w:t>五、</w:t>
      </w:r>
      <w:bookmarkStart w:id="8" w:name="_Hlk54167917"/>
      <w:r>
        <w:rPr>
          <w:rFonts w:hint="eastAsia" w:ascii="Times New Roman" w:hAnsi="Times New Roman" w:eastAsia="黑体"/>
          <w:snapToGrid w:val="0"/>
          <w:color w:val="auto"/>
          <w:sz w:val="30"/>
          <w:szCs w:val="30"/>
        </w:rPr>
        <w:t>环境保护措施监督检查清单</w:t>
      </w:r>
      <w:bookmarkEnd w:id="8"/>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88"/>
        <w:gridCol w:w="1612"/>
        <w:gridCol w:w="1393"/>
        <w:gridCol w:w="2240"/>
        <w:gridCol w:w="1885"/>
      </w:tblGrid>
      <w:tr w14:paraId="340E19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1688" w:type="dxa"/>
            <w:tcBorders>
              <w:top w:val="single" w:color="auto" w:sz="8" w:space="0"/>
              <w:left w:val="single" w:color="auto" w:sz="8" w:space="0"/>
              <w:bottom w:val="single" w:color="auto" w:sz="4" w:space="0"/>
              <w:right w:val="single" w:color="auto" w:sz="4" w:space="0"/>
              <w:tl2br w:val="single" w:color="auto" w:sz="4" w:space="0"/>
            </w:tcBorders>
          </w:tcPr>
          <w:p w14:paraId="7264B301">
            <w:pPr>
              <w:keepNext w:val="0"/>
              <w:keepLines w:val="0"/>
              <w:suppressLineNumbers w:val="0"/>
              <w:adjustRightInd w:val="0"/>
              <w:snapToGrid w:val="0"/>
              <w:spacing w:before="0" w:beforeAutospacing="0" w:after="0" w:afterAutospacing="0"/>
              <w:ind w:left="0" w:right="0" w:firstLine="840"/>
              <w:rPr>
                <w:rFonts w:hint="default" w:cs="宋体" w:eastAsiaTheme="minorEastAsia"/>
                <w:color w:val="auto"/>
                <w:szCs w:val="21"/>
              </w:rPr>
            </w:pPr>
            <w:r>
              <w:rPr>
                <w:rFonts w:hint="eastAsia" w:cs="宋体" w:eastAsiaTheme="minorEastAsia"/>
                <w:color w:val="auto"/>
                <w:szCs w:val="21"/>
              </w:rPr>
              <w:t>内容</w:t>
            </w:r>
          </w:p>
          <w:p w14:paraId="374BC15B">
            <w:pPr>
              <w:keepNext w:val="0"/>
              <w:keepLines w:val="0"/>
              <w:suppressLineNumbers w:val="0"/>
              <w:adjustRightInd w:val="0"/>
              <w:snapToGrid w:val="0"/>
              <w:spacing w:before="0" w:beforeAutospacing="0" w:after="0" w:afterAutospacing="0"/>
              <w:ind w:left="0" w:right="0"/>
              <w:rPr>
                <w:rFonts w:hint="default" w:cs="宋体" w:eastAsiaTheme="minorEastAsia"/>
                <w:color w:val="auto"/>
                <w:szCs w:val="21"/>
              </w:rPr>
            </w:pPr>
            <w:r>
              <w:rPr>
                <w:rFonts w:hint="eastAsia" w:cs="宋体" w:eastAsiaTheme="minorEastAsia"/>
                <w:color w:val="auto"/>
                <w:szCs w:val="21"/>
              </w:rPr>
              <w:t>要素</w:t>
            </w:r>
          </w:p>
        </w:tc>
        <w:tc>
          <w:tcPr>
            <w:tcW w:w="1612" w:type="dxa"/>
            <w:tcBorders>
              <w:top w:val="single" w:color="auto" w:sz="8" w:space="0"/>
              <w:left w:val="single" w:color="auto" w:sz="4" w:space="0"/>
              <w:bottom w:val="single" w:color="auto" w:sz="4" w:space="0"/>
              <w:right w:val="single" w:color="auto" w:sz="4" w:space="0"/>
            </w:tcBorders>
            <w:vAlign w:val="center"/>
          </w:tcPr>
          <w:p w14:paraId="5AD8A2C8">
            <w:pPr>
              <w:keepNext w:val="0"/>
              <w:keepLines w:val="0"/>
              <w:suppressLineNumbers w:val="0"/>
              <w:adjustRightInd w:val="0"/>
              <w:snapToGrid w:val="0"/>
              <w:spacing w:before="0" w:beforeAutospacing="0" w:after="0" w:afterAutospacing="0"/>
              <w:ind w:left="0" w:right="0"/>
              <w:jc w:val="center"/>
              <w:rPr>
                <w:rFonts w:hint="default" w:cs="宋体" w:eastAsiaTheme="minorEastAsia"/>
                <w:color w:val="auto"/>
                <w:szCs w:val="21"/>
              </w:rPr>
            </w:pPr>
            <w:r>
              <w:rPr>
                <w:rFonts w:hint="eastAsia" w:cs="宋体" w:eastAsiaTheme="minorEastAsia"/>
                <w:color w:val="auto"/>
                <w:szCs w:val="21"/>
              </w:rPr>
              <w:t>排放口(编号、</w:t>
            </w:r>
          </w:p>
          <w:p w14:paraId="15FE8A27">
            <w:pPr>
              <w:keepNext w:val="0"/>
              <w:keepLines w:val="0"/>
              <w:suppressLineNumbers w:val="0"/>
              <w:adjustRightInd w:val="0"/>
              <w:snapToGrid w:val="0"/>
              <w:spacing w:before="0" w:beforeAutospacing="0" w:after="0" w:afterAutospacing="0"/>
              <w:ind w:left="0" w:right="0"/>
              <w:jc w:val="center"/>
              <w:rPr>
                <w:rFonts w:hint="default" w:cs="宋体" w:eastAsiaTheme="minorEastAsia"/>
                <w:color w:val="auto"/>
                <w:szCs w:val="21"/>
              </w:rPr>
            </w:pPr>
            <w:r>
              <w:rPr>
                <w:rFonts w:hint="eastAsia" w:cs="宋体" w:eastAsiaTheme="minorEastAsia"/>
                <w:color w:val="auto"/>
                <w:szCs w:val="21"/>
              </w:rPr>
              <w:t>名称)/污染源</w:t>
            </w:r>
          </w:p>
        </w:tc>
        <w:tc>
          <w:tcPr>
            <w:tcW w:w="1393" w:type="dxa"/>
            <w:tcBorders>
              <w:top w:val="single" w:color="auto" w:sz="8" w:space="0"/>
              <w:left w:val="single" w:color="auto" w:sz="4" w:space="0"/>
              <w:bottom w:val="single" w:color="auto" w:sz="4" w:space="0"/>
              <w:right w:val="single" w:color="auto" w:sz="4" w:space="0"/>
            </w:tcBorders>
            <w:vAlign w:val="center"/>
          </w:tcPr>
          <w:p w14:paraId="64F1589C">
            <w:pPr>
              <w:keepNext w:val="0"/>
              <w:keepLines w:val="0"/>
              <w:suppressLineNumbers w:val="0"/>
              <w:adjustRightInd w:val="0"/>
              <w:snapToGrid w:val="0"/>
              <w:spacing w:before="0" w:beforeAutospacing="0" w:after="0" w:afterAutospacing="0"/>
              <w:ind w:left="0" w:right="0"/>
              <w:jc w:val="center"/>
              <w:rPr>
                <w:rFonts w:hint="default" w:cs="宋体" w:eastAsiaTheme="minorEastAsia"/>
                <w:color w:val="auto"/>
                <w:szCs w:val="21"/>
              </w:rPr>
            </w:pPr>
            <w:r>
              <w:rPr>
                <w:rFonts w:hint="eastAsia" w:cs="宋体" w:eastAsiaTheme="minorEastAsia"/>
                <w:color w:val="auto"/>
                <w:szCs w:val="21"/>
              </w:rPr>
              <w:t>污染物项目</w:t>
            </w:r>
          </w:p>
        </w:tc>
        <w:tc>
          <w:tcPr>
            <w:tcW w:w="2240" w:type="dxa"/>
            <w:tcBorders>
              <w:top w:val="single" w:color="auto" w:sz="8" w:space="0"/>
              <w:left w:val="single" w:color="auto" w:sz="4" w:space="0"/>
              <w:bottom w:val="single" w:color="auto" w:sz="4" w:space="0"/>
              <w:right w:val="single" w:color="auto" w:sz="4" w:space="0"/>
            </w:tcBorders>
            <w:vAlign w:val="center"/>
          </w:tcPr>
          <w:p w14:paraId="0C620FB1">
            <w:pPr>
              <w:keepNext w:val="0"/>
              <w:keepLines w:val="0"/>
              <w:suppressLineNumbers w:val="0"/>
              <w:adjustRightInd w:val="0"/>
              <w:snapToGrid w:val="0"/>
              <w:spacing w:before="0" w:beforeAutospacing="0" w:after="0" w:afterAutospacing="0"/>
              <w:ind w:left="-53" w:leftChars="-25" w:right="-53" w:rightChars="-25"/>
              <w:jc w:val="center"/>
              <w:rPr>
                <w:rFonts w:hint="default" w:cs="宋体" w:eastAsiaTheme="minorEastAsia"/>
                <w:color w:val="auto"/>
                <w:szCs w:val="21"/>
              </w:rPr>
            </w:pPr>
            <w:r>
              <w:rPr>
                <w:rFonts w:hint="eastAsia" w:cs="宋体" w:eastAsiaTheme="minorEastAsia"/>
                <w:color w:val="auto"/>
                <w:szCs w:val="21"/>
              </w:rPr>
              <w:t>环境保护措施</w:t>
            </w:r>
          </w:p>
        </w:tc>
        <w:tc>
          <w:tcPr>
            <w:tcW w:w="1885" w:type="dxa"/>
            <w:tcBorders>
              <w:top w:val="single" w:color="auto" w:sz="8" w:space="0"/>
              <w:left w:val="single" w:color="auto" w:sz="4" w:space="0"/>
              <w:bottom w:val="single" w:color="auto" w:sz="4" w:space="0"/>
              <w:right w:val="single" w:color="auto" w:sz="8" w:space="0"/>
            </w:tcBorders>
            <w:vAlign w:val="center"/>
          </w:tcPr>
          <w:p w14:paraId="467BB12C">
            <w:pPr>
              <w:keepNext w:val="0"/>
              <w:keepLines w:val="0"/>
              <w:suppressLineNumbers w:val="0"/>
              <w:adjustRightInd w:val="0"/>
              <w:snapToGrid w:val="0"/>
              <w:spacing w:before="0" w:beforeAutospacing="0" w:after="0" w:afterAutospacing="0"/>
              <w:ind w:left="-53" w:leftChars="-25" w:right="-53" w:rightChars="-25"/>
              <w:jc w:val="center"/>
              <w:rPr>
                <w:rFonts w:hint="default" w:cs="宋体" w:eastAsiaTheme="minorEastAsia"/>
                <w:color w:val="auto"/>
                <w:szCs w:val="21"/>
              </w:rPr>
            </w:pPr>
            <w:r>
              <w:rPr>
                <w:rFonts w:hint="eastAsia" w:cs="宋体" w:eastAsiaTheme="minorEastAsia"/>
                <w:color w:val="auto"/>
                <w:szCs w:val="21"/>
              </w:rPr>
              <w:t>执行标准</w:t>
            </w:r>
          </w:p>
        </w:tc>
      </w:tr>
      <w:tr w14:paraId="5E4D54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688" w:type="dxa"/>
            <w:vMerge w:val="restart"/>
            <w:tcBorders>
              <w:top w:val="single" w:color="auto" w:sz="4" w:space="0"/>
              <w:left w:val="single" w:color="auto" w:sz="8" w:space="0"/>
              <w:bottom w:val="single" w:color="auto" w:sz="4" w:space="0"/>
              <w:right w:val="single" w:color="auto" w:sz="4" w:space="0"/>
            </w:tcBorders>
            <w:vAlign w:val="center"/>
          </w:tcPr>
          <w:p w14:paraId="6B2A8261">
            <w:pPr>
              <w:keepNext w:val="0"/>
              <w:keepLines w:val="0"/>
              <w:suppressLineNumbers w:val="0"/>
              <w:adjustRightInd w:val="0"/>
              <w:snapToGrid w:val="0"/>
              <w:spacing w:before="0" w:beforeAutospacing="0" w:after="0" w:afterAutospacing="0"/>
              <w:ind w:left="0" w:right="0"/>
              <w:jc w:val="center"/>
              <w:rPr>
                <w:rFonts w:hint="default" w:cs="宋体" w:eastAsiaTheme="minorEastAsia"/>
                <w:color w:val="auto"/>
                <w:szCs w:val="21"/>
              </w:rPr>
            </w:pPr>
            <w:r>
              <w:rPr>
                <w:rFonts w:hint="eastAsia" w:cs="宋体" w:eastAsiaTheme="minorEastAsia"/>
                <w:color w:val="auto"/>
                <w:szCs w:val="21"/>
              </w:rPr>
              <w:t>大气环境</w:t>
            </w:r>
          </w:p>
        </w:tc>
        <w:tc>
          <w:tcPr>
            <w:tcW w:w="1612" w:type="dxa"/>
            <w:tcBorders>
              <w:top w:val="single" w:color="auto" w:sz="4" w:space="0"/>
              <w:left w:val="single" w:color="auto" w:sz="4" w:space="0"/>
              <w:right w:val="single" w:color="auto" w:sz="4" w:space="0"/>
            </w:tcBorders>
            <w:vAlign w:val="center"/>
          </w:tcPr>
          <w:p w14:paraId="0855FF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cs="宋体" w:eastAsiaTheme="minorEastAsia"/>
                <w:color w:val="auto"/>
                <w:kern w:val="2"/>
                <w:sz w:val="21"/>
                <w:szCs w:val="21"/>
                <w:lang w:val="en-US" w:eastAsia="zh-CN" w:bidi="ar-SA"/>
              </w:rPr>
            </w:pPr>
            <w:r>
              <w:rPr>
                <w:rFonts w:hint="eastAsia" w:cs="宋体" w:eastAsiaTheme="minorEastAsia"/>
                <w:color w:val="auto"/>
                <w:szCs w:val="21"/>
              </w:rPr>
              <w:t>MF0001/</w:t>
            </w:r>
            <w:r>
              <w:rPr>
                <w:rFonts w:hint="default" w:cs="宋体" w:eastAsiaTheme="minorEastAsia"/>
                <w:color w:val="auto"/>
                <w:szCs w:val="21"/>
              </w:rPr>
              <w:t>检验室、治疗室等</w:t>
            </w:r>
          </w:p>
        </w:tc>
        <w:tc>
          <w:tcPr>
            <w:tcW w:w="1393" w:type="dxa"/>
            <w:tcBorders>
              <w:top w:val="single" w:color="auto" w:sz="4" w:space="0"/>
              <w:left w:val="single" w:color="auto" w:sz="4" w:space="0"/>
              <w:bottom w:val="single" w:color="auto" w:sz="4" w:space="0"/>
              <w:right w:val="single" w:color="auto" w:sz="4" w:space="0"/>
            </w:tcBorders>
            <w:vAlign w:val="center"/>
          </w:tcPr>
          <w:p w14:paraId="67BDF996">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药水异味</w:t>
            </w:r>
          </w:p>
        </w:tc>
        <w:tc>
          <w:tcPr>
            <w:tcW w:w="2240" w:type="dxa"/>
            <w:tcBorders>
              <w:top w:val="single" w:color="auto" w:sz="4" w:space="0"/>
              <w:left w:val="single" w:color="auto" w:sz="4" w:space="0"/>
              <w:bottom w:val="single" w:color="auto" w:sz="4" w:space="0"/>
              <w:right w:val="single" w:color="auto" w:sz="4" w:space="0"/>
            </w:tcBorders>
            <w:vAlign w:val="center"/>
          </w:tcPr>
          <w:p w14:paraId="5773A180">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加强通风换气</w:t>
            </w:r>
          </w:p>
        </w:tc>
        <w:tc>
          <w:tcPr>
            <w:tcW w:w="1885" w:type="dxa"/>
            <w:vMerge w:val="restart"/>
            <w:tcBorders>
              <w:top w:val="single" w:color="auto" w:sz="4" w:space="0"/>
              <w:left w:val="single" w:color="auto" w:sz="4" w:space="0"/>
              <w:right w:val="single" w:color="auto" w:sz="8" w:space="0"/>
            </w:tcBorders>
            <w:vAlign w:val="center"/>
          </w:tcPr>
          <w:p w14:paraId="7CA748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53" w:leftChars="-25" w:right="-53" w:rightChars="-25"/>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cs="宋体" w:eastAsiaTheme="minorEastAsia"/>
                <w:color w:val="auto"/>
                <w:szCs w:val="21"/>
              </w:rPr>
              <w:t>《医疗机构水污染物排放标准》（GB18466-2005）</w:t>
            </w:r>
          </w:p>
        </w:tc>
      </w:tr>
      <w:tr w14:paraId="45D8AF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 w:hRule="atLeast"/>
          <w:jc w:val="center"/>
        </w:trPr>
        <w:tc>
          <w:tcPr>
            <w:tcW w:w="1688" w:type="dxa"/>
            <w:vMerge w:val="continue"/>
            <w:tcBorders>
              <w:top w:val="single" w:color="auto" w:sz="4" w:space="0"/>
              <w:left w:val="single" w:color="auto" w:sz="8" w:space="0"/>
              <w:bottom w:val="single" w:color="auto" w:sz="4" w:space="0"/>
              <w:right w:val="single" w:color="auto" w:sz="4" w:space="0"/>
            </w:tcBorders>
            <w:vAlign w:val="center"/>
          </w:tcPr>
          <w:p w14:paraId="38C020E5">
            <w:pPr>
              <w:keepNext w:val="0"/>
              <w:keepLines w:val="0"/>
              <w:suppressLineNumbers w:val="0"/>
              <w:adjustRightInd w:val="0"/>
              <w:snapToGrid w:val="0"/>
              <w:spacing w:before="0" w:beforeAutospacing="0" w:after="0" w:afterAutospacing="0"/>
              <w:ind w:left="0" w:right="0"/>
              <w:jc w:val="center"/>
              <w:rPr>
                <w:rFonts w:hint="default" w:cs="宋体" w:eastAsiaTheme="minorEastAsia"/>
                <w:color w:val="auto"/>
                <w:szCs w:val="21"/>
              </w:rPr>
            </w:pPr>
          </w:p>
        </w:tc>
        <w:tc>
          <w:tcPr>
            <w:tcW w:w="1612" w:type="dxa"/>
            <w:tcBorders>
              <w:top w:val="single" w:color="auto" w:sz="4" w:space="0"/>
              <w:left w:val="single" w:color="auto" w:sz="4" w:space="0"/>
              <w:bottom w:val="single" w:color="auto" w:sz="4" w:space="0"/>
              <w:right w:val="single" w:color="auto" w:sz="4" w:space="0"/>
            </w:tcBorders>
            <w:vAlign w:val="center"/>
          </w:tcPr>
          <w:p w14:paraId="00A195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Times New Roman" w:hAnsi="Times New Roman" w:cs="宋体" w:eastAsiaTheme="minorEastAsia"/>
                <w:color w:val="auto"/>
                <w:kern w:val="2"/>
                <w:sz w:val="21"/>
                <w:szCs w:val="21"/>
                <w:lang w:val="en-US" w:eastAsia="zh-CN" w:bidi="ar-SA"/>
              </w:rPr>
            </w:pPr>
            <w:r>
              <w:rPr>
                <w:rFonts w:hint="eastAsia" w:cs="宋体" w:eastAsiaTheme="minorEastAsia"/>
                <w:color w:val="auto"/>
                <w:szCs w:val="21"/>
              </w:rPr>
              <w:t>MF0002/</w:t>
            </w:r>
            <w:r>
              <w:rPr>
                <w:rFonts w:hint="default" w:cs="宋体" w:eastAsiaTheme="minorEastAsia"/>
                <w:color w:val="auto"/>
                <w:szCs w:val="21"/>
              </w:rPr>
              <w:t>污水处理站</w:t>
            </w:r>
          </w:p>
        </w:tc>
        <w:tc>
          <w:tcPr>
            <w:tcW w:w="1393" w:type="dxa"/>
            <w:tcBorders>
              <w:top w:val="single" w:color="auto" w:sz="4" w:space="0"/>
              <w:left w:val="single" w:color="auto" w:sz="4" w:space="0"/>
              <w:bottom w:val="single" w:color="auto" w:sz="4" w:space="0"/>
              <w:right w:val="single" w:color="auto" w:sz="4" w:space="0"/>
            </w:tcBorders>
            <w:vAlign w:val="center"/>
          </w:tcPr>
          <w:p w14:paraId="3C00B86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恶臭</w:t>
            </w:r>
          </w:p>
        </w:tc>
        <w:tc>
          <w:tcPr>
            <w:tcW w:w="2240" w:type="dxa"/>
            <w:tcBorders>
              <w:top w:val="single" w:color="auto" w:sz="4" w:space="0"/>
              <w:left w:val="single" w:color="auto" w:sz="4" w:space="0"/>
              <w:bottom w:val="single" w:color="auto" w:sz="4" w:space="0"/>
              <w:right w:val="single" w:color="auto" w:sz="4" w:space="0"/>
            </w:tcBorders>
            <w:vAlign w:val="center"/>
          </w:tcPr>
          <w:p w14:paraId="72F25A20">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封闭运行、适时</w:t>
            </w:r>
            <w:r>
              <w:rPr>
                <w:rFonts w:hint="default"/>
                <w:color w:val="auto"/>
                <w:szCs w:val="21"/>
              </w:rPr>
              <w:t>喷洒生物除臭剂、通风换气</w:t>
            </w:r>
          </w:p>
        </w:tc>
        <w:tc>
          <w:tcPr>
            <w:tcW w:w="1885" w:type="dxa"/>
            <w:vMerge w:val="continue"/>
            <w:tcBorders>
              <w:left w:val="single" w:color="auto" w:sz="4" w:space="0"/>
              <w:right w:val="single" w:color="auto" w:sz="8" w:space="0"/>
            </w:tcBorders>
            <w:vAlign w:val="center"/>
          </w:tcPr>
          <w:p w14:paraId="3956FF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53" w:leftChars="-25" w:right="-53" w:rightChars="-25"/>
              <w:jc w:val="center"/>
              <w:textAlignment w:val="auto"/>
              <w:rPr>
                <w:rFonts w:hint="default" w:eastAsiaTheme="minorEastAsia"/>
                <w:color w:val="auto"/>
                <w:szCs w:val="21"/>
              </w:rPr>
            </w:pPr>
          </w:p>
        </w:tc>
      </w:tr>
      <w:tr w14:paraId="5665B8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688" w:type="dxa"/>
            <w:vMerge w:val="continue"/>
            <w:tcBorders>
              <w:top w:val="single" w:color="auto" w:sz="4" w:space="0"/>
              <w:left w:val="single" w:color="auto" w:sz="8" w:space="0"/>
              <w:bottom w:val="single" w:color="auto" w:sz="4" w:space="0"/>
              <w:right w:val="single" w:color="auto" w:sz="4" w:space="0"/>
            </w:tcBorders>
            <w:vAlign w:val="center"/>
          </w:tcPr>
          <w:p w14:paraId="095A63CF">
            <w:pPr>
              <w:keepNext w:val="0"/>
              <w:keepLines w:val="0"/>
              <w:suppressLineNumbers w:val="0"/>
              <w:adjustRightInd w:val="0"/>
              <w:snapToGrid w:val="0"/>
              <w:spacing w:before="0" w:beforeAutospacing="0" w:after="0" w:afterAutospacing="0"/>
              <w:ind w:left="0" w:right="0"/>
              <w:jc w:val="center"/>
              <w:rPr>
                <w:rFonts w:hint="default" w:cs="宋体" w:eastAsiaTheme="minorEastAsia"/>
                <w:color w:val="auto"/>
                <w:szCs w:val="21"/>
              </w:rPr>
            </w:pPr>
          </w:p>
        </w:tc>
        <w:tc>
          <w:tcPr>
            <w:tcW w:w="1612" w:type="dxa"/>
            <w:tcBorders>
              <w:top w:val="single" w:color="auto" w:sz="4" w:space="0"/>
              <w:left w:val="single" w:color="auto" w:sz="4" w:space="0"/>
              <w:bottom w:val="single" w:color="auto" w:sz="4" w:space="0"/>
              <w:right w:val="single" w:color="auto" w:sz="4" w:space="0"/>
            </w:tcBorders>
            <w:vAlign w:val="center"/>
          </w:tcPr>
          <w:p w14:paraId="5AEE18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s="宋体" w:eastAsiaTheme="minorEastAsia"/>
                <w:color w:val="auto"/>
                <w:szCs w:val="21"/>
                <w:lang w:val="en-US" w:eastAsia="zh-CN"/>
              </w:rPr>
            </w:pPr>
            <w:r>
              <w:rPr>
                <w:rFonts w:hint="eastAsia" w:cs="宋体" w:eastAsiaTheme="minorEastAsia"/>
                <w:color w:val="auto"/>
                <w:szCs w:val="21"/>
                <w:lang w:val="en-US" w:eastAsia="zh-CN"/>
              </w:rPr>
              <w:t>DA001</w:t>
            </w:r>
            <w:r>
              <w:rPr>
                <w:rFonts w:hint="eastAsia" w:cs="宋体" w:eastAsiaTheme="minorEastAsia"/>
                <w:color w:val="auto"/>
                <w:szCs w:val="21"/>
              </w:rPr>
              <w:t>/</w:t>
            </w:r>
            <w:r>
              <w:rPr>
                <w:rFonts w:hint="eastAsia" w:cs="宋体" w:eastAsiaTheme="minorEastAsia"/>
                <w:color w:val="auto"/>
                <w:szCs w:val="21"/>
                <w:lang w:val="en-US" w:eastAsia="zh-CN"/>
              </w:rPr>
              <w:t>中药煎药废气</w:t>
            </w:r>
          </w:p>
        </w:tc>
        <w:tc>
          <w:tcPr>
            <w:tcW w:w="1393" w:type="dxa"/>
            <w:tcBorders>
              <w:top w:val="single" w:color="auto" w:sz="4" w:space="0"/>
              <w:left w:val="single" w:color="auto" w:sz="4" w:space="0"/>
              <w:bottom w:val="single" w:color="auto" w:sz="4" w:space="0"/>
              <w:right w:val="single" w:color="auto" w:sz="4" w:space="0"/>
            </w:tcBorders>
            <w:vAlign w:val="center"/>
          </w:tcPr>
          <w:p w14:paraId="100C5F52">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jc w:val="center"/>
              <w:textAlignment w:val="auto"/>
              <w:rPr>
                <w:rFonts w:hint="default" w:eastAsia="宋体"/>
                <w:color w:val="auto"/>
                <w:szCs w:val="21"/>
                <w:lang w:val="en-US" w:eastAsia="zh-CN"/>
              </w:rPr>
            </w:pPr>
            <w:r>
              <w:rPr>
                <w:rFonts w:hint="eastAsia"/>
                <w:color w:val="auto"/>
                <w:szCs w:val="21"/>
                <w:lang w:val="en-US" w:eastAsia="zh-CN"/>
              </w:rPr>
              <w:t>臭气浓度</w:t>
            </w:r>
          </w:p>
        </w:tc>
        <w:tc>
          <w:tcPr>
            <w:tcW w:w="2240" w:type="dxa"/>
            <w:tcBorders>
              <w:top w:val="single" w:color="auto" w:sz="4" w:space="0"/>
              <w:left w:val="single" w:color="auto" w:sz="4" w:space="0"/>
              <w:bottom w:val="single" w:color="auto" w:sz="4" w:space="0"/>
              <w:right w:val="single" w:color="auto" w:sz="4" w:space="0"/>
            </w:tcBorders>
            <w:vAlign w:val="center"/>
          </w:tcPr>
          <w:p w14:paraId="743F2E2B">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textAlignment w:val="auto"/>
              <w:rPr>
                <w:rFonts w:hint="default" w:eastAsia="宋体"/>
                <w:color w:val="auto"/>
                <w:szCs w:val="21"/>
                <w:lang w:val="en-US" w:eastAsia="zh-CN"/>
              </w:rPr>
            </w:pPr>
            <w:r>
              <w:rPr>
                <w:rFonts w:hint="eastAsia"/>
                <w:color w:val="auto"/>
                <w:szCs w:val="21"/>
                <w:lang w:val="en-US" w:eastAsia="zh-CN"/>
              </w:rPr>
              <w:t>煎药室相对封闭、设风机引至楼顶活性炭吸附装置净化处理后排放</w:t>
            </w:r>
          </w:p>
        </w:tc>
        <w:tc>
          <w:tcPr>
            <w:tcW w:w="1885" w:type="dxa"/>
            <w:tcBorders>
              <w:top w:val="single" w:color="auto" w:sz="4" w:space="0"/>
              <w:left w:val="single" w:color="auto" w:sz="4" w:space="0"/>
              <w:right w:val="single" w:color="auto" w:sz="8" w:space="0"/>
            </w:tcBorders>
            <w:vAlign w:val="center"/>
          </w:tcPr>
          <w:p w14:paraId="2FFEC4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53" w:leftChars="-25" w:right="-53" w:rightChars="-25"/>
              <w:jc w:val="center"/>
              <w:textAlignment w:val="auto"/>
              <w:rPr>
                <w:rFonts w:hint="default" w:cs="宋体" w:eastAsiaTheme="minorEastAsia"/>
                <w:color w:val="auto"/>
                <w:szCs w:val="21"/>
              </w:rPr>
            </w:pPr>
            <w:r>
              <w:rPr>
                <w:rFonts w:hint="eastAsia" w:cs="宋体" w:eastAsiaTheme="minorEastAsia"/>
                <w:color w:val="auto"/>
                <w:szCs w:val="21"/>
              </w:rPr>
              <w:t>《恶臭污染物排放标准》（GB</w:t>
            </w:r>
            <w:r>
              <w:rPr>
                <w:rFonts w:hint="eastAsia" w:cs="宋体" w:eastAsiaTheme="minorEastAsia"/>
                <w:color w:val="auto"/>
                <w:szCs w:val="21"/>
                <w:lang w:val="en-US" w:eastAsia="zh-CN"/>
              </w:rPr>
              <w:t xml:space="preserve"> </w:t>
            </w:r>
            <w:r>
              <w:rPr>
                <w:rFonts w:hint="eastAsia" w:cs="宋体" w:eastAsiaTheme="minorEastAsia"/>
                <w:color w:val="auto"/>
                <w:szCs w:val="21"/>
              </w:rPr>
              <w:t>14554-93）</w:t>
            </w:r>
          </w:p>
        </w:tc>
      </w:tr>
      <w:tr w14:paraId="2DB2BA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5" w:hRule="atLeast"/>
          <w:jc w:val="center"/>
        </w:trPr>
        <w:tc>
          <w:tcPr>
            <w:tcW w:w="1688" w:type="dxa"/>
            <w:vMerge w:val="restart"/>
            <w:tcBorders>
              <w:top w:val="single" w:color="auto" w:sz="4" w:space="0"/>
              <w:left w:val="single" w:color="auto" w:sz="8" w:space="0"/>
              <w:right w:val="single" w:color="auto" w:sz="4" w:space="0"/>
            </w:tcBorders>
            <w:vAlign w:val="center"/>
          </w:tcPr>
          <w:p w14:paraId="39F5BD34">
            <w:pPr>
              <w:keepNext w:val="0"/>
              <w:keepLines w:val="0"/>
              <w:suppressLineNumbers w:val="0"/>
              <w:adjustRightInd w:val="0"/>
              <w:snapToGrid w:val="0"/>
              <w:spacing w:before="0" w:beforeAutospacing="0" w:after="0" w:afterAutospacing="0"/>
              <w:ind w:left="0" w:right="0"/>
              <w:jc w:val="center"/>
              <w:rPr>
                <w:rFonts w:hint="default" w:cs="宋体" w:eastAsiaTheme="minorEastAsia"/>
                <w:color w:val="auto"/>
                <w:szCs w:val="21"/>
              </w:rPr>
            </w:pPr>
            <w:r>
              <w:rPr>
                <w:rFonts w:hint="eastAsia" w:cs="宋体" w:eastAsiaTheme="minorEastAsia"/>
                <w:color w:val="auto"/>
                <w:szCs w:val="21"/>
              </w:rPr>
              <w:t>地表水环境</w:t>
            </w:r>
          </w:p>
        </w:tc>
        <w:tc>
          <w:tcPr>
            <w:tcW w:w="1612" w:type="dxa"/>
            <w:vMerge w:val="restart"/>
            <w:tcBorders>
              <w:top w:val="single" w:color="auto" w:sz="4" w:space="0"/>
              <w:left w:val="single" w:color="auto" w:sz="4" w:space="0"/>
              <w:right w:val="single" w:color="auto" w:sz="4" w:space="0"/>
            </w:tcBorders>
            <w:vAlign w:val="center"/>
          </w:tcPr>
          <w:p w14:paraId="14A7A359">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jc w:val="center"/>
              <w:textAlignment w:val="auto"/>
              <w:rPr>
                <w:rFonts w:hint="default"/>
                <w:color w:val="auto"/>
                <w:szCs w:val="21"/>
              </w:rPr>
            </w:pPr>
            <w:r>
              <w:rPr>
                <w:rFonts w:hint="eastAsia"/>
                <w:color w:val="auto"/>
                <w:szCs w:val="21"/>
              </w:rPr>
              <w:t>DW001/医疗废水、生活污水</w:t>
            </w:r>
          </w:p>
        </w:tc>
        <w:tc>
          <w:tcPr>
            <w:tcW w:w="1393" w:type="dxa"/>
            <w:tcBorders>
              <w:top w:val="single" w:color="auto" w:sz="4" w:space="0"/>
              <w:left w:val="single" w:color="auto" w:sz="4" w:space="0"/>
              <w:bottom w:val="single" w:color="auto" w:sz="4" w:space="0"/>
              <w:right w:val="single" w:color="auto" w:sz="4" w:space="0"/>
            </w:tcBorders>
            <w:vAlign w:val="center"/>
          </w:tcPr>
          <w:p w14:paraId="2F1B4FE3">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jc w:val="center"/>
              <w:textAlignment w:val="auto"/>
              <w:rPr>
                <w:rFonts w:hint="default"/>
                <w:color w:val="auto"/>
                <w:szCs w:val="21"/>
              </w:rPr>
            </w:pPr>
            <w:r>
              <w:rPr>
                <w:rFonts w:hint="default"/>
                <w:color w:val="auto"/>
                <w:szCs w:val="21"/>
              </w:rPr>
              <w:t>CODcr</w:t>
            </w:r>
            <w:r>
              <w:rPr>
                <w:rFonts w:hint="eastAsia"/>
                <w:color w:val="auto"/>
                <w:szCs w:val="21"/>
              </w:rPr>
              <w:t>、</w:t>
            </w:r>
            <w:r>
              <w:rPr>
                <w:rFonts w:hint="default"/>
                <w:color w:val="auto"/>
                <w:szCs w:val="21"/>
              </w:rPr>
              <w:t>SS</w:t>
            </w:r>
            <w:r>
              <w:rPr>
                <w:rFonts w:hint="eastAsia"/>
                <w:color w:val="auto"/>
                <w:szCs w:val="21"/>
              </w:rPr>
              <w:t>、</w:t>
            </w:r>
            <w:r>
              <w:rPr>
                <w:rFonts w:hint="default"/>
                <w:color w:val="auto"/>
                <w:szCs w:val="21"/>
              </w:rPr>
              <w:t>BOD</w:t>
            </w:r>
            <w:r>
              <w:rPr>
                <w:rFonts w:hint="default"/>
                <w:color w:val="auto"/>
                <w:szCs w:val="21"/>
                <w:vertAlign w:val="subscript"/>
              </w:rPr>
              <w:t>5</w:t>
            </w:r>
            <w:r>
              <w:rPr>
                <w:rFonts w:hint="eastAsia"/>
                <w:color w:val="auto"/>
                <w:szCs w:val="21"/>
              </w:rPr>
              <w:t>、</w:t>
            </w:r>
            <w:r>
              <w:rPr>
                <w:rFonts w:hint="default"/>
                <w:color w:val="auto"/>
                <w:szCs w:val="21"/>
              </w:rPr>
              <w:t>NH</w:t>
            </w:r>
            <w:r>
              <w:rPr>
                <w:rFonts w:hint="default"/>
                <w:color w:val="auto"/>
                <w:szCs w:val="21"/>
                <w:vertAlign w:val="subscript"/>
              </w:rPr>
              <w:t>3</w:t>
            </w:r>
            <w:r>
              <w:rPr>
                <w:rFonts w:hint="default"/>
                <w:color w:val="auto"/>
                <w:szCs w:val="21"/>
              </w:rPr>
              <w:t>-N</w:t>
            </w:r>
            <w:r>
              <w:rPr>
                <w:rFonts w:hint="eastAsia"/>
                <w:color w:val="auto"/>
                <w:szCs w:val="21"/>
              </w:rPr>
              <w:t>、粪大肠菌群</w:t>
            </w:r>
          </w:p>
        </w:tc>
        <w:tc>
          <w:tcPr>
            <w:tcW w:w="2240" w:type="dxa"/>
            <w:tcBorders>
              <w:top w:val="single" w:color="auto" w:sz="4" w:space="0"/>
              <w:left w:val="single" w:color="auto" w:sz="4" w:space="0"/>
              <w:bottom w:val="single" w:color="auto" w:sz="4" w:space="0"/>
              <w:right w:val="single" w:color="auto" w:sz="4" w:space="0"/>
            </w:tcBorders>
            <w:vAlign w:val="center"/>
          </w:tcPr>
          <w:p w14:paraId="18D64B00">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textAlignment w:val="auto"/>
              <w:rPr>
                <w:rFonts w:hint="default"/>
                <w:color w:val="auto"/>
                <w:szCs w:val="21"/>
              </w:rPr>
            </w:pPr>
            <w:r>
              <w:rPr>
                <w:rFonts w:hint="eastAsia"/>
                <w:color w:val="auto"/>
                <w:szCs w:val="21"/>
              </w:rPr>
              <w:t>自建污水处理站，采用“</w:t>
            </w:r>
            <w:r>
              <w:rPr>
                <w:rFonts w:hint="eastAsia"/>
                <w:color w:val="auto"/>
                <w:szCs w:val="21"/>
                <w:lang w:val="en-US" w:eastAsia="zh-CN"/>
              </w:rPr>
              <w:t>化粪池</w:t>
            </w:r>
            <w:r>
              <w:rPr>
                <w:rFonts w:hint="eastAsia"/>
                <w:color w:val="auto"/>
                <w:szCs w:val="21"/>
              </w:rPr>
              <w:t>+格栅+调节池+</w:t>
            </w:r>
            <w:r>
              <w:rPr>
                <w:rFonts w:hint="eastAsia"/>
                <w:color w:val="auto"/>
                <w:szCs w:val="21"/>
                <w:lang w:val="en-US" w:eastAsia="zh-CN"/>
              </w:rPr>
              <w:t>水解酸化</w:t>
            </w:r>
            <w:r>
              <w:rPr>
                <w:rFonts w:hint="eastAsia"/>
                <w:color w:val="auto"/>
                <w:szCs w:val="21"/>
              </w:rPr>
              <w:t>+</w:t>
            </w:r>
            <w:r>
              <w:rPr>
                <w:rFonts w:hint="eastAsia"/>
                <w:color w:val="auto"/>
                <w:szCs w:val="21"/>
                <w:lang w:val="en-US" w:eastAsia="zh-CN"/>
              </w:rPr>
              <w:t>生物</w:t>
            </w:r>
            <w:r>
              <w:rPr>
                <w:rFonts w:hint="eastAsia"/>
                <w:color w:val="auto"/>
                <w:szCs w:val="21"/>
              </w:rPr>
              <w:t>接触氧化+</w:t>
            </w:r>
            <w:r>
              <w:rPr>
                <w:rFonts w:hint="eastAsia"/>
                <w:color w:val="auto"/>
                <w:szCs w:val="21"/>
                <w:lang w:val="en-US" w:eastAsia="zh-CN"/>
              </w:rPr>
              <w:t>沉淀池</w:t>
            </w:r>
            <w:r>
              <w:rPr>
                <w:rFonts w:hint="eastAsia"/>
                <w:color w:val="auto"/>
                <w:szCs w:val="21"/>
              </w:rPr>
              <w:t>+消毒”工艺，设计处理规模</w:t>
            </w:r>
            <w:r>
              <w:rPr>
                <w:rFonts w:hint="eastAsia"/>
                <w:color w:val="auto"/>
                <w:szCs w:val="21"/>
                <w:lang w:val="en-US" w:eastAsia="zh-CN"/>
              </w:rPr>
              <w:t>1.5</w:t>
            </w:r>
            <w:r>
              <w:rPr>
                <w:rFonts w:hint="eastAsia"/>
                <w:color w:val="auto"/>
                <w:szCs w:val="21"/>
              </w:rPr>
              <w:t>m</w:t>
            </w:r>
            <w:r>
              <w:rPr>
                <w:rFonts w:hint="eastAsia"/>
                <w:color w:val="auto"/>
                <w:szCs w:val="21"/>
                <w:vertAlign w:val="superscript"/>
              </w:rPr>
              <w:t>3</w:t>
            </w:r>
            <w:r>
              <w:rPr>
                <w:rFonts w:hint="eastAsia"/>
                <w:color w:val="auto"/>
                <w:szCs w:val="21"/>
              </w:rPr>
              <w:t>/</w:t>
            </w:r>
            <w:r>
              <w:rPr>
                <w:rFonts w:hint="eastAsia"/>
                <w:color w:val="auto"/>
                <w:szCs w:val="21"/>
                <w:lang w:val="en-US" w:eastAsia="zh-CN"/>
              </w:rPr>
              <w:t>h</w:t>
            </w:r>
            <w:r>
              <w:rPr>
                <w:rFonts w:hint="eastAsia"/>
                <w:color w:val="auto"/>
                <w:szCs w:val="21"/>
              </w:rPr>
              <w:t>，处理后达标排入</w:t>
            </w:r>
            <w:r>
              <w:rPr>
                <w:rFonts w:hint="eastAsia"/>
                <w:color w:val="auto"/>
                <w:szCs w:val="21"/>
                <w:lang w:val="en-US" w:eastAsia="zh-CN"/>
              </w:rPr>
              <w:t>罗江镇场镇污水处理厂</w:t>
            </w:r>
          </w:p>
        </w:tc>
        <w:tc>
          <w:tcPr>
            <w:tcW w:w="1885" w:type="dxa"/>
            <w:vMerge w:val="restart"/>
            <w:tcBorders>
              <w:top w:val="single" w:color="auto" w:sz="4" w:space="0"/>
              <w:left w:val="single" w:color="auto" w:sz="4" w:space="0"/>
              <w:right w:val="single" w:color="auto" w:sz="8" w:space="0"/>
            </w:tcBorders>
            <w:vAlign w:val="center"/>
          </w:tcPr>
          <w:p w14:paraId="6482BF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53" w:leftChars="-25" w:right="-53" w:rightChars="-25"/>
              <w:jc w:val="center"/>
              <w:textAlignment w:val="auto"/>
              <w:rPr>
                <w:rFonts w:hint="default" w:cs="宋体" w:eastAsiaTheme="minorEastAsia"/>
                <w:color w:val="auto"/>
                <w:szCs w:val="21"/>
              </w:rPr>
            </w:pPr>
            <w:r>
              <w:rPr>
                <w:rFonts w:hint="eastAsia" w:cs="宋体" w:eastAsiaTheme="minorEastAsia"/>
                <w:color w:val="auto"/>
                <w:szCs w:val="21"/>
              </w:rPr>
              <w:t>《医疗机构水污染物排放标准》（GB18466-2005）</w:t>
            </w:r>
          </w:p>
        </w:tc>
      </w:tr>
      <w:tr w14:paraId="24A440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5" w:hRule="atLeast"/>
          <w:jc w:val="center"/>
        </w:trPr>
        <w:tc>
          <w:tcPr>
            <w:tcW w:w="1688" w:type="dxa"/>
            <w:vMerge w:val="continue"/>
            <w:tcBorders>
              <w:left w:val="single" w:color="auto" w:sz="8" w:space="0"/>
              <w:right w:val="single" w:color="auto" w:sz="4" w:space="0"/>
            </w:tcBorders>
            <w:vAlign w:val="center"/>
          </w:tcPr>
          <w:p w14:paraId="4FFC7F4A">
            <w:pPr>
              <w:keepNext w:val="0"/>
              <w:keepLines w:val="0"/>
              <w:suppressLineNumbers w:val="0"/>
              <w:adjustRightInd w:val="0"/>
              <w:snapToGrid w:val="0"/>
              <w:spacing w:before="0" w:beforeAutospacing="0" w:after="0" w:afterAutospacing="0"/>
              <w:ind w:left="0" w:right="0"/>
              <w:jc w:val="center"/>
              <w:rPr>
                <w:rFonts w:hint="eastAsia" w:cs="宋体" w:eastAsiaTheme="minorEastAsia"/>
                <w:color w:val="auto"/>
                <w:szCs w:val="21"/>
              </w:rPr>
            </w:pPr>
          </w:p>
        </w:tc>
        <w:tc>
          <w:tcPr>
            <w:tcW w:w="1612" w:type="dxa"/>
            <w:vMerge w:val="continue"/>
            <w:tcBorders>
              <w:left w:val="single" w:color="auto" w:sz="4" w:space="0"/>
              <w:bottom w:val="single" w:color="auto" w:sz="4" w:space="0"/>
              <w:right w:val="single" w:color="auto" w:sz="4" w:space="0"/>
            </w:tcBorders>
            <w:vAlign w:val="center"/>
          </w:tcPr>
          <w:p w14:paraId="182E5FBB">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jc w:val="center"/>
              <w:textAlignment w:val="auto"/>
              <w:rPr>
                <w:rFonts w:hint="eastAsia"/>
                <w:color w:val="auto"/>
                <w:szCs w:val="21"/>
              </w:rPr>
            </w:pPr>
          </w:p>
        </w:tc>
        <w:tc>
          <w:tcPr>
            <w:tcW w:w="1393" w:type="dxa"/>
            <w:tcBorders>
              <w:top w:val="single" w:color="auto" w:sz="4" w:space="0"/>
              <w:left w:val="single" w:color="auto" w:sz="4" w:space="0"/>
              <w:bottom w:val="single" w:color="auto" w:sz="4" w:space="0"/>
              <w:right w:val="single" w:color="auto" w:sz="4" w:space="0"/>
            </w:tcBorders>
            <w:vAlign w:val="center"/>
          </w:tcPr>
          <w:p w14:paraId="3E088A84">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jc w:val="center"/>
              <w:textAlignment w:val="auto"/>
              <w:rPr>
                <w:rFonts w:hint="default" w:eastAsia="宋体"/>
                <w:color w:val="auto"/>
                <w:szCs w:val="21"/>
                <w:lang w:val="en-US" w:eastAsia="zh-CN"/>
              </w:rPr>
            </w:pPr>
            <w:r>
              <w:rPr>
                <w:rFonts w:hint="eastAsia"/>
                <w:color w:val="auto"/>
                <w:szCs w:val="21"/>
                <w:lang w:val="en-US" w:eastAsia="zh-CN"/>
              </w:rPr>
              <w:t>检验室废水、血透中心阳性治疗区废水</w:t>
            </w:r>
          </w:p>
        </w:tc>
        <w:tc>
          <w:tcPr>
            <w:tcW w:w="2240" w:type="dxa"/>
            <w:tcBorders>
              <w:top w:val="single" w:color="auto" w:sz="4" w:space="0"/>
              <w:left w:val="single" w:color="auto" w:sz="4" w:space="0"/>
              <w:bottom w:val="single" w:color="auto" w:sz="4" w:space="0"/>
              <w:right w:val="single" w:color="auto" w:sz="4" w:space="0"/>
            </w:tcBorders>
            <w:vAlign w:val="center"/>
          </w:tcPr>
          <w:p w14:paraId="41F8D45B">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textAlignment w:val="auto"/>
              <w:rPr>
                <w:rFonts w:hint="default" w:eastAsia="宋体"/>
                <w:color w:val="auto"/>
                <w:szCs w:val="21"/>
                <w:lang w:val="en-US" w:eastAsia="zh-CN"/>
              </w:rPr>
            </w:pPr>
            <w:r>
              <w:rPr>
                <w:rFonts w:hint="eastAsia"/>
                <w:color w:val="auto"/>
                <w:szCs w:val="21"/>
              </w:rPr>
              <w:t>检验科室内废水进行单独酸碱中和预处理</w:t>
            </w:r>
            <w:r>
              <w:rPr>
                <w:rFonts w:hint="eastAsia"/>
                <w:color w:val="auto"/>
                <w:szCs w:val="21"/>
                <w:lang w:eastAsia="zh-CN"/>
              </w:rPr>
              <w:t>，</w:t>
            </w:r>
            <w:r>
              <w:rPr>
                <w:rFonts w:hint="eastAsia"/>
                <w:color w:val="auto"/>
                <w:szCs w:val="21"/>
                <w:lang w:val="en-US" w:eastAsia="zh-CN"/>
              </w:rPr>
              <w:t>血透中心阳性治疗区废水单独收集预消毒处理，再排入污水处理站</w:t>
            </w:r>
          </w:p>
        </w:tc>
        <w:tc>
          <w:tcPr>
            <w:tcW w:w="1885" w:type="dxa"/>
            <w:vMerge w:val="continue"/>
            <w:tcBorders>
              <w:left w:val="single" w:color="auto" w:sz="4" w:space="0"/>
              <w:bottom w:val="single" w:color="auto" w:sz="4" w:space="0"/>
              <w:right w:val="single" w:color="auto" w:sz="8" w:space="0"/>
            </w:tcBorders>
            <w:vAlign w:val="center"/>
          </w:tcPr>
          <w:p w14:paraId="16DE46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53" w:leftChars="-25" w:right="-53" w:rightChars="-25"/>
              <w:jc w:val="center"/>
              <w:textAlignment w:val="auto"/>
              <w:rPr>
                <w:rFonts w:hint="eastAsia" w:cs="宋体" w:eastAsiaTheme="minorEastAsia"/>
                <w:color w:val="auto"/>
                <w:szCs w:val="21"/>
              </w:rPr>
            </w:pPr>
          </w:p>
        </w:tc>
      </w:tr>
      <w:tr w14:paraId="6B15EA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688" w:type="dxa"/>
            <w:tcBorders>
              <w:left w:val="single" w:color="auto" w:sz="8" w:space="0"/>
              <w:right w:val="single" w:color="auto" w:sz="4" w:space="0"/>
            </w:tcBorders>
            <w:vAlign w:val="center"/>
          </w:tcPr>
          <w:p w14:paraId="250A3AF0">
            <w:pPr>
              <w:keepNext w:val="0"/>
              <w:keepLines w:val="0"/>
              <w:suppressLineNumbers w:val="0"/>
              <w:adjustRightInd w:val="0"/>
              <w:snapToGrid w:val="0"/>
              <w:spacing w:before="0" w:beforeAutospacing="0" w:after="0" w:afterAutospacing="0"/>
              <w:ind w:left="0" w:right="0"/>
              <w:jc w:val="center"/>
              <w:rPr>
                <w:rFonts w:hint="default" w:cs="宋体" w:eastAsiaTheme="minorEastAsia"/>
                <w:color w:val="auto"/>
                <w:szCs w:val="21"/>
              </w:rPr>
            </w:pPr>
            <w:r>
              <w:rPr>
                <w:rFonts w:hint="eastAsia" w:cs="宋体" w:eastAsiaTheme="minorEastAsia"/>
                <w:color w:val="auto"/>
                <w:szCs w:val="21"/>
              </w:rPr>
              <w:t>声环境</w:t>
            </w:r>
          </w:p>
        </w:tc>
        <w:tc>
          <w:tcPr>
            <w:tcW w:w="1612" w:type="dxa"/>
            <w:tcBorders>
              <w:top w:val="single" w:color="auto" w:sz="4" w:space="0"/>
              <w:left w:val="single" w:color="auto" w:sz="4" w:space="0"/>
              <w:bottom w:val="single" w:color="auto" w:sz="4" w:space="0"/>
              <w:right w:val="single" w:color="auto" w:sz="4" w:space="0"/>
            </w:tcBorders>
            <w:vAlign w:val="center"/>
          </w:tcPr>
          <w:p w14:paraId="31AB2DD1">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营运期</w:t>
            </w:r>
          </w:p>
        </w:tc>
        <w:tc>
          <w:tcPr>
            <w:tcW w:w="1393" w:type="dxa"/>
            <w:tcBorders>
              <w:top w:val="single" w:color="auto" w:sz="4" w:space="0"/>
              <w:left w:val="single" w:color="auto" w:sz="4" w:space="0"/>
              <w:bottom w:val="single" w:color="auto" w:sz="4" w:space="0"/>
              <w:right w:val="single" w:color="auto" w:sz="4" w:space="0"/>
            </w:tcBorders>
            <w:vAlign w:val="center"/>
          </w:tcPr>
          <w:p w14:paraId="2E54C50F">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设备噪声</w:t>
            </w:r>
          </w:p>
        </w:tc>
        <w:tc>
          <w:tcPr>
            <w:tcW w:w="2240" w:type="dxa"/>
            <w:tcBorders>
              <w:top w:val="single" w:color="auto" w:sz="4" w:space="0"/>
              <w:left w:val="single" w:color="auto" w:sz="4" w:space="0"/>
              <w:bottom w:val="single" w:color="auto" w:sz="4" w:space="0"/>
              <w:right w:val="single" w:color="auto" w:sz="4" w:space="0"/>
            </w:tcBorders>
            <w:vAlign w:val="center"/>
          </w:tcPr>
          <w:p w14:paraId="6AED2984">
            <w:pPr>
              <w:keepNext w:val="0"/>
              <w:keepLines w:val="0"/>
              <w:pageBreakBefore w:val="0"/>
              <w:widowControl w:val="0"/>
              <w:suppressLineNumbers w:val="0"/>
              <w:kinsoku/>
              <w:wordWrap/>
              <w:overflowPunct/>
              <w:topLinePunct w:val="0"/>
              <w:autoSpaceDE/>
              <w:autoSpaceDN/>
              <w:bidi w:val="0"/>
              <w:spacing w:before="0" w:beforeAutospacing="0" w:after="0" w:afterAutospacing="0" w:line="400" w:lineRule="exact"/>
              <w:ind w:left="-53" w:leftChars="-25" w:right="-53" w:rightChars="-25"/>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Cs w:val="21"/>
              </w:rPr>
              <w:t>选用低噪声设备，通风设备采取降噪措施，建筑隔声</w:t>
            </w:r>
          </w:p>
        </w:tc>
        <w:tc>
          <w:tcPr>
            <w:tcW w:w="1885" w:type="dxa"/>
            <w:tcBorders>
              <w:top w:val="single" w:color="auto" w:sz="4" w:space="0"/>
              <w:left w:val="single" w:color="auto" w:sz="4" w:space="0"/>
              <w:bottom w:val="single" w:color="auto" w:sz="4" w:space="0"/>
              <w:right w:val="single" w:color="auto" w:sz="8" w:space="0"/>
            </w:tcBorders>
            <w:vAlign w:val="center"/>
          </w:tcPr>
          <w:p w14:paraId="03C970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53" w:leftChars="-25" w:right="-53" w:rightChars="-25"/>
              <w:jc w:val="center"/>
              <w:textAlignment w:val="auto"/>
              <w:rPr>
                <w:rFonts w:hint="default" w:ascii="Times New Roman" w:hAnsi="Times New Roman" w:cs="宋体" w:eastAsiaTheme="minorEastAsia"/>
                <w:color w:val="auto"/>
                <w:kern w:val="2"/>
                <w:sz w:val="21"/>
                <w:szCs w:val="21"/>
                <w:lang w:val="en-US" w:eastAsia="zh-CN" w:bidi="ar-SA"/>
              </w:rPr>
            </w:pPr>
            <w:r>
              <w:rPr>
                <w:rFonts w:hint="eastAsia" w:cs="宋体" w:eastAsiaTheme="minorEastAsia"/>
                <w:color w:val="auto"/>
                <w:szCs w:val="21"/>
              </w:rPr>
              <w:t>《工业企业厂界环境噪声排放标准》（GB12348-2008）</w:t>
            </w:r>
          </w:p>
        </w:tc>
      </w:tr>
      <w:tr w14:paraId="5584DB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0" w:hRule="atLeast"/>
          <w:jc w:val="center"/>
        </w:trPr>
        <w:tc>
          <w:tcPr>
            <w:tcW w:w="1688" w:type="dxa"/>
            <w:tcBorders>
              <w:top w:val="single" w:color="auto" w:sz="4" w:space="0"/>
              <w:left w:val="single" w:color="auto" w:sz="8" w:space="0"/>
              <w:bottom w:val="single" w:color="auto" w:sz="4" w:space="0"/>
              <w:right w:val="single" w:color="auto" w:sz="4" w:space="0"/>
            </w:tcBorders>
            <w:vAlign w:val="center"/>
          </w:tcPr>
          <w:p w14:paraId="08E765D7">
            <w:pPr>
              <w:keepNext w:val="0"/>
              <w:keepLines w:val="0"/>
              <w:suppressLineNumbers w:val="0"/>
              <w:adjustRightInd w:val="0"/>
              <w:snapToGrid w:val="0"/>
              <w:spacing w:before="0" w:beforeAutospacing="0" w:after="0" w:afterAutospacing="0"/>
              <w:ind w:left="0" w:right="0"/>
              <w:jc w:val="center"/>
              <w:rPr>
                <w:rFonts w:hint="default" w:cs="宋体" w:eastAsiaTheme="minorEastAsia"/>
                <w:color w:val="auto"/>
                <w:szCs w:val="21"/>
              </w:rPr>
            </w:pPr>
            <w:r>
              <w:rPr>
                <w:rFonts w:hint="eastAsia" w:cs="宋体" w:eastAsiaTheme="minorEastAsia"/>
                <w:color w:val="auto"/>
                <w:szCs w:val="21"/>
              </w:rPr>
              <w:t>电磁辐射</w:t>
            </w:r>
          </w:p>
        </w:tc>
        <w:tc>
          <w:tcPr>
            <w:tcW w:w="1612" w:type="dxa"/>
            <w:tcBorders>
              <w:top w:val="single" w:color="auto" w:sz="4" w:space="0"/>
              <w:left w:val="single" w:color="auto" w:sz="4" w:space="0"/>
              <w:bottom w:val="single" w:color="auto" w:sz="4" w:space="0"/>
              <w:right w:val="single" w:color="auto" w:sz="4" w:space="0"/>
            </w:tcBorders>
            <w:vAlign w:val="center"/>
          </w:tcPr>
          <w:p w14:paraId="25B24E63">
            <w:pPr>
              <w:keepNext w:val="0"/>
              <w:keepLines w:val="0"/>
              <w:suppressLineNumbers w:val="0"/>
              <w:adjustRightInd w:val="0"/>
              <w:snapToGrid w:val="0"/>
              <w:spacing w:before="0" w:beforeAutospacing="0" w:after="0" w:afterAutospacing="0" w:line="320" w:lineRule="exact"/>
              <w:ind w:left="0" w:right="0"/>
              <w:jc w:val="center"/>
              <w:rPr>
                <w:rFonts w:hint="default" w:cs="宋体" w:eastAsiaTheme="minorEastAsia"/>
                <w:color w:val="auto"/>
                <w:szCs w:val="21"/>
              </w:rPr>
            </w:pPr>
            <w:r>
              <w:rPr>
                <w:rFonts w:hint="eastAsia" w:cs="宋体" w:eastAsiaTheme="minorEastAsia"/>
                <w:color w:val="auto"/>
                <w:szCs w:val="21"/>
              </w:rPr>
              <w:t>/</w:t>
            </w:r>
          </w:p>
        </w:tc>
        <w:tc>
          <w:tcPr>
            <w:tcW w:w="1393" w:type="dxa"/>
            <w:tcBorders>
              <w:top w:val="single" w:color="auto" w:sz="4" w:space="0"/>
              <w:left w:val="single" w:color="auto" w:sz="4" w:space="0"/>
              <w:bottom w:val="single" w:color="auto" w:sz="4" w:space="0"/>
              <w:right w:val="single" w:color="auto" w:sz="4" w:space="0"/>
            </w:tcBorders>
            <w:vAlign w:val="center"/>
          </w:tcPr>
          <w:p w14:paraId="56D9EBBA">
            <w:pPr>
              <w:keepNext w:val="0"/>
              <w:keepLines w:val="0"/>
              <w:suppressLineNumbers w:val="0"/>
              <w:adjustRightInd w:val="0"/>
              <w:snapToGrid w:val="0"/>
              <w:spacing w:before="0" w:beforeAutospacing="0" w:after="0" w:afterAutospacing="0" w:line="320" w:lineRule="exact"/>
              <w:ind w:left="0" w:right="0"/>
              <w:jc w:val="center"/>
              <w:rPr>
                <w:rFonts w:hint="default" w:cs="宋体" w:eastAsiaTheme="minorEastAsia"/>
                <w:color w:val="auto"/>
                <w:szCs w:val="21"/>
              </w:rPr>
            </w:pPr>
            <w:r>
              <w:rPr>
                <w:rFonts w:hint="eastAsia" w:cs="宋体" w:eastAsiaTheme="minorEastAsia"/>
                <w:color w:val="auto"/>
                <w:szCs w:val="21"/>
              </w:rPr>
              <w:t>/</w:t>
            </w:r>
          </w:p>
        </w:tc>
        <w:tc>
          <w:tcPr>
            <w:tcW w:w="2240" w:type="dxa"/>
            <w:tcBorders>
              <w:top w:val="single" w:color="auto" w:sz="4" w:space="0"/>
              <w:left w:val="single" w:color="auto" w:sz="4" w:space="0"/>
              <w:bottom w:val="single" w:color="auto" w:sz="4" w:space="0"/>
              <w:right w:val="single" w:color="auto" w:sz="4" w:space="0"/>
            </w:tcBorders>
            <w:vAlign w:val="center"/>
          </w:tcPr>
          <w:p w14:paraId="5F6C9D21">
            <w:pPr>
              <w:keepNext w:val="0"/>
              <w:keepLines w:val="0"/>
              <w:suppressLineNumbers w:val="0"/>
              <w:adjustRightInd w:val="0"/>
              <w:snapToGrid w:val="0"/>
              <w:spacing w:before="0" w:beforeAutospacing="0" w:after="0" w:afterAutospacing="0" w:line="320" w:lineRule="exact"/>
              <w:ind w:left="-53" w:leftChars="-25" w:right="-53" w:rightChars="-25"/>
              <w:jc w:val="center"/>
              <w:rPr>
                <w:rFonts w:hint="default" w:cs="宋体" w:eastAsiaTheme="minorEastAsia"/>
                <w:color w:val="auto"/>
                <w:szCs w:val="21"/>
              </w:rPr>
            </w:pPr>
            <w:r>
              <w:rPr>
                <w:rFonts w:hint="eastAsia" w:cs="宋体" w:eastAsiaTheme="minorEastAsia"/>
                <w:color w:val="auto"/>
                <w:szCs w:val="21"/>
              </w:rPr>
              <w:t>/</w:t>
            </w:r>
          </w:p>
        </w:tc>
        <w:tc>
          <w:tcPr>
            <w:tcW w:w="1885" w:type="dxa"/>
            <w:tcBorders>
              <w:top w:val="single" w:color="auto" w:sz="4" w:space="0"/>
              <w:left w:val="single" w:color="auto" w:sz="4" w:space="0"/>
              <w:bottom w:val="single" w:color="auto" w:sz="4" w:space="0"/>
              <w:right w:val="single" w:color="auto" w:sz="8" w:space="0"/>
            </w:tcBorders>
            <w:vAlign w:val="center"/>
          </w:tcPr>
          <w:p w14:paraId="20F4FDF6">
            <w:pPr>
              <w:keepNext w:val="0"/>
              <w:keepLines w:val="0"/>
              <w:suppressLineNumbers w:val="0"/>
              <w:adjustRightInd w:val="0"/>
              <w:snapToGrid w:val="0"/>
              <w:spacing w:before="0" w:beforeAutospacing="0" w:after="0" w:afterAutospacing="0" w:line="320" w:lineRule="exact"/>
              <w:ind w:left="-53" w:leftChars="-25" w:right="-53" w:rightChars="-25"/>
              <w:jc w:val="center"/>
              <w:rPr>
                <w:rFonts w:hint="default" w:cs="宋体" w:eastAsiaTheme="minorEastAsia"/>
                <w:color w:val="auto"/>
                <w:szCs w:val="21"/>
              </w:rPr>
            </w:pPr>
            <w:r>
              <w:rPr>
                <w:rFonts w:hint="eastAsia" w:cs="宋体" w:eastAsiaTheme="minorEastAsia"/>
                <w:color w:val="auto"/>
                <w:szCs w:val="21"/>
              </w:rPr>
              <w:t>/</w:t>
            </w:r>
          </w:p>
        </w:tc>
      </w:tr>
      <w:tr w14:paraId="74D163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8" w:type="dxa"/>
            <w:tcBorders>
              <w:top w:val="single" w:color="auto" w:sz="4" w:space="0"/>
              <w:left w:val="single" w:color="auto" w:sz="8" w:space="0"/>
              <w:bottom w:val="single" w:color="auto" w:sz="4" w:space="0"/>
              <w:right w:val="single" w:color="auto" w:sz="4" w:space="0"/>
            </w:tcBorders>
            <w:vAlign w:val="center"/>
          </w:tcPr>
          <w:p w14:paraId="1F13D345">
            <w:pPr>
              <w:keepNext w:val="0"/>
              <w:keepLines w:val="0"/>
              <w:suppressLineNumbers w:val="0"/>
              <w:adjustRightInd w:val="0"/>
              <w:snapToGrid w:val="0"/>
              <w:spacing w:before="0" w:beforeAutospacing="0" w:after="0" w:afterAutospacing="0"/>
              <w:ind w:left="0" w:right="0"/>
              <w:jc w:val="center"/>
              <w:rPr>
                <w:rFonts w:hint="default" w:cs="宋体" w:eastAsiaTheme="minorEastAsia"/>
                <w:color w:val="auto"/>
                <w:szCs w:val="21"/>
              </w:rPr>
            </w:pPr>
            <w:r>
              <w:rPr>
                <w:rFonts w:hint="eastAsia" w:cs="宋体" w:eastAsiaTheme="minorEastAsia"/>
                <w:color w:val="auto"/>
                <w:szCs w:val="21"/>
              </w:rPr>
              <w:t>固体废物</w:t>
            </w:r>
          </w:p>
        </w:tc>
        <w:tc>
          <w:tcPr>
            <w:tcW w:w="7130" w:type="dxa"/>
            <w:gridSpan w:val="4"/>
            <w:tcBorders>
              <w:top w:val="single" w:color="auto" w:sz="4" w:space="0"/>
              <w:left w:val="single" w:color="auto" w:sz="4" w:space="0"/>
              <w:bottom w:val="single" w:color="auto" w:sz="4" w:space="0"/>
              <w:right w:val="single" w:color="auto" w:sz="8" w:space="0"/>
            </w:tcBorders>
            <w:vAlign w:val="center"/>
          </w:tcPr>
          <w:p w14:paraId="4F02A28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53" w:leftChars="-25" w:right="-53" w:rightChars="-25"/>
              <w:jc w:val="left"/>
              <w:textAlignment w:val="auto"/>
              <w:rPr>
                <w:rFonts w:hint="default" w:eastAsia="黑体" w:cs="宋体"/>
                <w:color w:val="auto"/>
                <w:kern w:val="0"/>
                <w:szCs w:val="21"/>
              </w:rPr>
            </w:pPr>
            <w:r>
              <w:rPr>
                <w:rFonts w:hint="eastAsia" w:eastAsia="黑体" w:cs="宋体"/>
                <w:color w:val="auto"/>
                <w:kern w:val="0"/>
                <w:szCs w:val="21"/>
              </w:rPr>
              <w:t>1、施工期</w:t>
            </w:r>
          </w:p>
          <w:p w14:paraId="6D8C217C">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exact"/>
              <w:ind w:left="-53" w:leftChars="-25" w:right="-53" w:rightChars="-25" w:firstLine="422"/>
              <w:jc w:val="left"/>
              <w:textAlignment w:val="auto"/>
              <w:rPr>
                <w:rFonts w:hint="default"/>
                <w:color w:val="auto"/>
                <w:szCs w:val="21"/>
              </w:rPr>
            </w:pPr>
            <w:r>
              <w:rPr>
                <w:rFonts w:hint="default"/>
                <w:color w:val="auto"/>
                <w:szCs w:val="21"/>
              </w:rPr>
              <w:t>（</w:t>
            </w:r>
            <w:r>
              <w:rPr>
                <w:rFonts w:hint="eastAsia"/>
                <w:color w:val="auto"/>
                <w:szCs w:val="21"/>
              </w:rPr>
              <w:t>1</w:t>
            </w:r>
            <w:r>
              <w:rPr>
                <w:rFonts w:hint="default"/>
                <w:color w:val="auto"/>
                <w:szCs w:val="21"/>
              </w:rPr>
              <w:t>）废木材、废弃包装材料等收集后外售废品回收站。</w:t>
            </w:r>
          </w:p>
          <w:p w14:paraId="1D310C25">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360" w:lineRule="exact"/>
              <w:ind w:left="-53" w:leftChars="-25" w:right="-53" w:rightChars="-25" w:firstLine="422"/>
              <w:jc w:val="left"/>
              <w:textAlignment w:val="auto"/>
              <w:rPr>
                <w:rFonts w:hint="default"/>
                <w:color w:val="auto"/>
                <w:szCs w:val="21"/>
              </w:rPr>
            </w:pPr>
            <w:r>
              <w:rPr>
                <w:rFonts w:hint="eastAsia" w:ascii="宋体" w:hAnsi="宋体" w:cs="宋体"/>
                <w:color w:val="auto"/>
                <w:szCs w:val="21"/>
              </w:rPr>
              <w:t>（2）</w:t>
            </w:r>
            <w:r>
              <w:rPr>
                <w:rFonts w:hint="eastAsia" w:ascii="宋体" w:hAnsi="宋体" w:cs="宋体"/>
                <w:color w:val="auto"/>
                <w:szCs w:val="21"/>
                <w:lang w:val="en-US" w:eastAsia="zh-CN"/>
              </w:rPr>
              <w:t>建筑垃圾</w:t>
            </w:r>
            <w:r>
              <w:rPr>
                <w:rFonts w:hint="eastAsia" w:ascii="宋体" w:hAnsi="宋体" w:cs="宋体"/>
                <w:color w:val="auto"/>
                <w:szCs w:val="21"/>
              </w:rPr>
              <w:t>及时运出施工现场。</w:t>
            </w:r>
          </w:p>
          <w:p w14:paraId="690A1A3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53" w:leftChars="-25" w:right="-53" w:rightChars="-25"/>
              <w:jc w:val="left"/>
              <w:textAlignment w:val="auto"/>
              <w:rPr>
                <w:rFonts w:hint="default" w:eastAsia="黑体" w:cs="宋体"/>
                <w:color w:val="auto"/>
                <w:kern w:val="0"/>
                <w:szCs w:val="21"/>
              </w:rPr>
            </w:pPr>
            <w:r>
              <w:rPr>
                <w:rFonts w:hint="eastAsia" w:eastAsia="黑体" w:cs="宋体"/>
                <w:color w:val="auto"/>
                <w:kern w:val="0"/>
                <w:szCs w:val="21"/>
              </w:rPr>
              <w:t>2</w:t>
            </w:r>
            <w:r>
              <w:rPr>
                <w:rFonts w:hint="default" w:eastAsia="黑体" w:cs="宋体"/>
                <w:color w:val="auto"/>
                <w:kern w:val="0"/>
                <w:szCs w:val="21"/>
              </w:rPr>
              <w:t>、营运期</w:t>
            </w:r>
          </w:p>
          <w:p w14:paraId="2CC848EB">
            <w:pPr>
              <w:keepNext w:val="0"/>
              <w:keepLines w:val="0"/>
              <w:pageBreakBefore w:val="0"/>
              <w:widowControl w:val="0"/>
              <w:suppressLineNumbers w:val="0"/>
              <w:kinsoku/>
              <w:wordWrap/>
              <w:overflowPunct/>
              <w:topLinePunct w:val="0"/>
              <w:bidi w:val="0"/>
              <w:spacing w:before="0" w:beforeAutospacing="0" w:after="0" w:afterAutospacing="0" w:line="360" w:lineRule="exact"/>
              <w:ind w:left="-53" w:leftChars="-25" w:right="-53" w:rightChars="-25" w:firstLine="420"/>
              <w:textAlignment w:val="auto"/>
              <w:rPr>
                <w:rFonts w:hint="default"/>
                <w:color w:val="auto"/>
                <w:szCs w:val="21"/>
              </w:rPr>
            </w:pPr>
            <w:r>
              <w:rPr>
                <w:rFonts w:hint="eastAsia"/>
                <w:color w:val="auto"/>
                <w:szCs w:val="21"/>
              </w:rPr>
              <w:t>（1）设危废间采取“四防”措施，各类医疗废物应采用专用容器分类收集暂存，其中感染性废物和损伤性废物委托达州佳境医疗废物处理有限公司处理，病理性废物交由当地殡葬部门处置，药物性废物和化学性废物委托有资质的单位回收处理。</w:t>
            </w:r>
          </w:p>
          <w:p w14:paraId="730B8B5E">
            <w:pPr>
              <w:keepNext w:val="0"/>
              <w:keepLines w:val="0"/>
              <w:pageBreakBefore w:val="0"/>
              <w:widowControl w:val="0"/>
              <w:suppressLineNumbers w:val="0"/>
              <w:kinsoku/>
              <w:wordWrap/>
              <w:overflowPunct/>
              <w:topLinePunct w:val="0"/>
              <w:bidi w:val="0"/>
              <w:spacing w:before="0" w:beforeAutospacing="0" w:after="0" w:afterAutospacing="0" w:line="360" w:lineRule="exact"/>
              <w:ind w:left="-53" w:leftChars="-25" w:right="-53" w:rightChars="-25" w:firstLine="420"/>
              <w:textAlignment w:val="auto"/>
              <w:rPr>
                <w:rFonts w:hint="default"/>
                <w:color w:val="auto"/>
                <w:szCs w:val="21"/>
              </w:rPr>
            </w:pPr>
            <w:r>
              <w:rPr>
                <w:rFonts w:hint="eastAsia"/>
                <w:color w:val="auto"/>
                <w:szCs w:val="21"/>
              </w:rPr>
              <w:t>（2）污水处理站产生的污泥，纳入危险废物管理。采用定期清掏经石灰彻底消杀处理后，</w:t>
            </w:r>
            <w:r>
              <w:rPr>
                <w:rFonts w:hint="default"/>
                <w:color w:val="auto"/>
                <w:szCs w:val="21"/>
              </w:rPr>
              <w:t>委托有资质的单位收集处理，严格执行“危险废物转移联单制度”。</w:t>
            </w:r>
          </w:p>
          <w:p w14:paraId="020F1F27">
            <w:pPr>
              <w:keepNext w:val="0"/>
              <w:keepLines w:val="0"/>
              <w:pageBreakBefore w:val="0"/>
              <w:widowControl w:val="0"/>
              <w:suppressLineNumbers w:val="0"/>
              <w:kinsoku/>
              <w:wordWrap/>
              <w:overflowPunct/>
              <w:topLinePunct w:val="0"/>
              <w:bidi w:val="0"/>
              <w:spacing w:before="0" w:beforeAutospacing="0" w:after="0" w:afterAutospacing="0" w:line="360" w:lineRule="exact"/>
              <w:ind w:left="-53" w:leftChars="-25" w:right="-53" w:rightChars="-25" w:firstLine="420"/>
              <w:textAlignment w:val="auto"/>
              <w:rPr>
                <w:rFonts w:hint="default"/>
                <w:color w:val="auto"/>
                <w:szCs w:val="21"/>
              </w:rPr>
            </w:pPr>
            <w:r>
              <w:rPr>
                <w:rFonts w:hint="eastAsia"/>
                <w:color w:val="auto"/>
                <w:szCs w:val="21"/>
              </w:rPr>
              <w:t>（3）一次性输液瓶（袋）</w:t>
            </w:r>
            <w:r>
              <w:rPr>
                <w:rFonts w:hint="eastAsia"/>
                <w:color w:val="auto"/>
                <w:szCs w:val="21"/>
                <w:lang w:val="en-US" w:eastAsia="zh-CN"/>
              </w:rPr>
              <w:t>等</w:t>
            </w:r>
            <w:r>
              <w:rPr>
                <w:rFonts w:hint="eastAsia"/>
                <w:color w:val="auto"/>
                <w:szCs w:val="21"/>
              </w:rPr>
              <w:t>一般固废，统一收集后，委托专业机构回收处置。</w:t>
            </w:r>
          </w:p>
          <w:p w14:paraId="56FF3110">
            <w:pPr>
              <w:keepNext w:val="0"/>
              <w:keepLines w:val="0"/>
              <w:pageBreakBefore w:val="0"/>
              <w:widowControl w:val="0"/>
              <w:suppressLineNumbers w:val="0"/>
              <w:kinsoku/>
              <w:wordWrap/>
              <w:overflowPunct/>
              <w:topLinePunct w:val="0"/>
              <w:bidi w:val="0"/>
              <w:spacing w:before="0" w:beforeAutospacing="0" w:after="0" w:afterAutospacing="0" w:line="360" w:lineRule="exact"/>
              <w:ind w:left="-53" w:leftChars="-25" w:right="-53" w:rightChars="-25" w:firstLine="420"/>
              <w:textAlignment w:val="auto"/>
              <w:rPr>
                <w:rFonts w:hint="default" w:eastAsiaTheme="minorEastAsia"/>
                <w:color w:val="auto"/>
                <w:szCs w:val="21"/>
              </w:rPr>
            </w:pPr>
            <w:r>
              <w:rPr>
                <w:rFonts w:hint="eastAsia"/>
                <w:color w:val="auto"/>
                <w:szCs w:val="21"/>
              </w:rPr>
              <w:t>（4）生活垃圾分类收集，环卫清运处理，必须做到</w:t>
            </w:r>
            <w:r>
              <w:rPr>
                <w:rFonts w:hint="default"/>
                <w:color w:val="auto"/>
                <w:szCs w:val="21"/>
              </w:rPr>
              <w:t>“</w:t>
            </w:r>
            <w:r>
              <w:rPr>
                <w:rFonts w:hint="eastAsia"/>
                <w:color w:val="auto"/>
                <w:szCs w:val="21"/>
              </w:rPr>
              <w:t>日产日清</w:t>
            </w:r>
            <w:r>
              <w:rPr>
                <w:rFonts w:hint="default"/>
                <w:color w:val="auto"/>
                <w:szCs w:val="21"/>
              </w:rPr>
              <w:t>”</w:t>
            </w:r>
            <w:r>
              <w:rPr>
                <w:rFonts w:hint="eastAsia"/>
                <w:color w:val="auto"/>
                <w:szCs w:val="21"/>
              </w:rPr>
              <w:t>。</w:t>
            </w:r>
          </w:p>
        </w:tc>
      </w:tr>
      <w:tr w14:paraId="0AEED6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688" w:type="dxa"/>
            <w:tcBorders>
              <w:top w:val="single" w:color="auto" w:sz="4" w:space="0"/>
              <w:left w:val="single" w:color="auto" w:sz="8" w:space="0"/>
              <w:bottom w:val="single" w:color="auto" w:sz="4" w:space="0"/>
              <w:right w:val="single" w:color="auto" w:sz="4" w:space="0"/>
            </w:tcBorders>
            <w:vAlign w:val="center"/>
          </w:tcPr>
          <w:p w14:paraId="4148DF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s="宋体"/>
                <w:color w:val="auto"/>
                <w:szCs w:val="21"/>
              </w:rPr>
            </w:pPr>
            <w:r>
              <w:rPr>
                <w:rFonts w:hint="eastAsia" w:cs="宋体"/>
                <w:color w:val="auto"/>
                <w:szCs w:val="21"/>
              </w:rPr>
              <w:t>土壤及地下水</w:t>
            </w:r>
          </w:p>
          <w:p w14:paraId="05AA25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s="宋体"/>
                <w:color w:val="auto"/>
                <w:szCs w:val="21"/>
              </w:rPr>
            </w:pPr>
            <w:r>
              <w:rPr>
                <w:rFonts w:hint="eastAsia" w:cs="宋体"/>
                <w:color w:val="auto"/>
                <w:szCs w:val="21"/>
              </w:rPr>
              <w:t>污染防治措施</w:t>
            </w:r>
          </w:p>
        </w:tc>
        <w:tc>
          <w:tcPr>
            <w:tcW w:w="7130" w:type="dxa"/>
            <w:gridSpan w:val="4"/>
            <w:tcBorders>
              <w:top w:val="single" w:color="auto" w:sz="4" w:space="0"/>
              <w:left w:val="single" w:color="auto" w:sz="4" w:space="0"/>
              <w:bottom w:val="single" w:color="auto" w:sz="4" w:space="0"/>
              <w:right w:val="single" w:color="auto" w:sz="8" w:space="0"/>
            </w:tcBorders>
            <w:vAlign w:val="center"/>
          </w:tcPr>
          <w:p w14:paraId="4EE340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53" w:leftChars="-25" w:right="-53" w:rightChars="-25"/>
              <w:jc w:val="center"/>
              <w:textAlignment w:val="auto"/>
              <w:rPr>
                <w:rFonts w:hint="default" w:cs="宋体"/>
                <w:color w:val="auto"/>
                <w:szCs w:val="21"/>
              </w:rPr>
            </w:pPr>
            <w:r>
              <w:rPr>
                <w:rFonts w:hint="default" w:cs="宋体"/>
                <w:color w:val="auto"/>
                <w:szCs w:val="21"/>
              </w:rPr>
              <w:t>无</w:t>
            </w:r>
          </w:p>
        </w:tc>
      </w:tr>
      <w:tr w14:paraId="566147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8" w:type="dxa"/>
            <w:tcBorders>
              <w:top w:val="single" w:color="auto" w:sz="4" w:space="0"/>
              <w:left w:val="single" w:color="auto" w:sz="8" w:space="0"/>
              <w:bottom w:val="single" w:color="auto" w:sz="4" w:space="0"/>
              <w:right w:val="single" w:color="auto" w:sz="4" w:space="0"/>
            </w:tcBorders>
            <w:vAlign w:val="center"/>
          </w:tcPr>
          <w:p w14:paraId="116CA90E">
            <w:pPr>
              <w:keepNext w:val="0"/>
              <w:keepLines w:val="0"/>
              <w:suppressLineNumbers w:val="0"/>
              <w:adjustRightInd w:val="0"/>
              <w:snapToGrid w:val="0"/>
              <w:spacing w:before="0" w:beforeAutospacing="0" w:after="0" w:afterAutospacing="0" w:line="500" w:lineRule="exact"/>
              <w:ind w:left="0" w:right="0"/>
              <w:jc w:val="center"/>
              <w:rPr>
                <w:rFonts w:hint="default" w:cs="宋体"/>
                <w:color w:val="auto"/>
                <w:szCs w:val="21"/>
              </w:rPr>
            </w:pPr>
            <w:r>
              <w:rPr>
                <w:rFonts w:hint="eastAsia" w:cs="宋体"/>
                <w:color w:val="auto"/>
                <w:szCs w:val="21"/>
              </w:rPr>
              <w:t>生态保护措施</w:t>
            </w:r>
          </w:p>
        </w:tc>
        <w:tc>
          <w:tcPr>
            <w:tcW w:w="7130" w:type="dxa"/>
            <w:gridSpan w:val="4"/>
            <w:tcBorders>
              <w:top w:val="single" w:color="auto" w:sz="4" w:space="0"/>
              <w:left w:val="single" w:color="auto" w:sz="4" w:space="0"/>
              <w:bottom w:val="single" w:color="auto" w:sz="4" w:space="0"/>
              <w:right w:val="single" w:color="auto" w:sz="8" w:space="0"/>
            </w:tcBorders>
            <w:vAlign w:val="center"/>
          </w:tcPr>
          <w:p w14:paraId="50D526A8">
            <w:pPr>
              <w:keepNext w:val="0"/>
              <w:keepLines w:val="0"/>
              <w:suppressLineNumbers w:val="0"/>
              <w:adjustRightInd w:val="0"/>
              <w:snapToGrid w:val="0"/>
              <w:spacing w:before="0" w:beforeAutospacing="0" w:after="0" w:afterAutospacing="0" w:line="500" w:lineRule="exact"/>
              <w:ind w:left="-53" w:leftChars="-25" w:right="-53" w:rightChars="-25"/>
              <w:jc w:val="center"/>
              <w:rPr>
                <w:rFonts w:hint="default" w:cs="宋体"/>
                <w:color w:val="auto"/>
                <w:szCs w:val="21"/>
              </w:rPr>
            </w:pPr>
            <w:r>
              <w:rPr>
                <w:rFonts w:hint="default" w:cs="宋体"/>
                <w:color w:val="auto"/>
                <w:szCs w:val="21"/>
              </w:rPr>
              <w:t>无</w:t>
            </w:r>
          </w:p>
        </w:tc>
      </w:tr>
      <w:tr w14:paraId="1D56A7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3" w:hRule="atLeast"/>
          <w:jc w:val="center"/>
        </w:trPr>
        <w:tc>
          <w:tcPr>
            <w:tcW w:w="1688" w:type="dxa"/>
            <w:tcBorders>
              <w:top w:val="single" w:color="auto" w:sz="4" w:space="0"/>
              <w:left w:val="single" w:color="auto" w:sz="8" w:space="0"/>
              <w:bottom w:val="single" w:color="auto" w:sz="4" w:space="0"/>
              <w:right w:val="single" w:color="auto" w:sz="4" w:space="0"/>
            </w:tcBorders>
            <w:vAlign w:val="center"/>
          </w:tcPr>
          <w:p w14:paraId="42ABFC9C">
            <w:pPr>
              <w:keepNext w:val="0"/>
              <w:keepLines w:val="0"/>
              <w:suppressLineNumbers w:val="0"/>
              <w:adjustRightInd w:val="0"/>
              <w:snapToGrid w:val="0"/>
              <w:spacing w:before="0" w:beforeAutospacing="0" w:after="0" w:afterAutospacing="0"/>
              <w:ind w:left="0" w:right="0"/>
              <w:jc w:val="center"/>
              <w:rPr>
                <w:rFonts w:hint="default" w:cs="宋体"/>
                <w:color w:val="auto"/>
                <w:spacing w:val="-8"/>
                <w:szCs w:val="21"/>
              </w:rPr>
            </w:pPr>
            <w:r>
              <w:rPr>
                <w:rFonts w:hint="eastAsia" w:cs="宋体"/>
                <w:color w:val="auto"/>
                <w:spacing w:val="-8"/>
                <w:szCs w:val="21"/>
              </w:rPr>
              <w:t>环境风险</w:t>
            </w:r>
          </w:p>
          <w:p w14:paraId="3FD9B698">
            <w:pPr>
              <w:keepNext w:val="0"/>
              <w:keepLines w:val="0"/>
              <w:suppressLineNumbers w:val="0"/>
              <w:adjustRightInd w:val="0"/>
              <w:snapToGrid w:val="0"/>
              <w:spacing w:before="0" w:beforeAutospacing="0" w:after="0" w:afterAutospacing="0"/>
              <w:ind w:left="0" w:right="0"/>
              <w:jc w:val="center"/>
              <w:rPr>
                <w:rFonts w:hint="default" w:cs="宋体"/>
                <w:color w:val="auto"/>
                <w:spacing w:val="-8"/>
                <w:szCs w:val="21"/>
              </w:rPr>
            </w:pPr>
            <w:r>
              <w:rPr>
                <w:rFonts w:hint="eastAsia" w:cs="宋体"/>
                <w:color w:val="auto"/>
                <w:spacing w:val="-8"/>
                <w:szCs w:val="21"/>
              </w:rPr>
              <w:t>防范措施</w:t>
            </w:r>
          </w:p>
        </w:tc>
        <w:tc>
          <w:tcPr>
            <w:tcW w:w="7130" w:type="dxa"/>
            <w:gridSpan w:val="4"/>
            <w:tcBorders>
              <w:top w:val="single" w:color="auto" w:sz="4" w:space="0"/>
              <w:left w:val="single" w:color="auto" w:sz="4" w:space="0"/>
              <w:bottom w:val="single" w:color="auto" w:sz="4" w:space="0"/>
              <w:right w:val="single" w:color="auto" w:sz="8" w:space="0"/>
            </w:tcBorders>
            <w:vAlign w:val="center"/>
          </w:tcPr>
          <w:p w14:paraId="4C0245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53" w:leftChars="-25" w:right="-53" w:rightChars="-25" w:firstLine="420"/>
              <w:textAlignment w:val="auto"/>
              <w:rPr>
                <w:rFonts w:hint="default"/>
                <w:color w:val="auto"/>
                <w:szCs w:val="21"/>
              </w:rPr>
            </w:pPr>
            <w:r>
              <w:rPr>
                <w:rFonts w:hint="default"/>
                <w:color w:val="auto"/>
                <w:szCs w:val="21"/>
              </w:rPr>
              <w:t>（</w:t>
            </w:r>
            <w:r>
              <w:rPr>
                <w:rFonts w:hint="eastAsia"/>
                <w:color w:val="auto"/>
                <w:szCs w:val="21"/>
              </w:rPr>
              <w:t>1</w:t>
            </w:r>
            <w:r>
              <w:rPr>
                <w:rFonts w:hint="default"/>
                <w:color w:val="auto"/>
                <w:szCs w:val="21"/>
              </w:rPr>
              <w:t>）危险化学品的购买、储存、保管、使用严格执行《危险化学品安全管理条例》。定期检查污水管网，避免发生泄漏。管道敷设沿途采取防渗处理。</w:t>
            </w:r>
          </w:p>
          <w:p w14:paraId="7C60B5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53" w:leftChars="-25" w:right="-53" w:rightChars="-25" w:firstLine="420"/>
              <w:textAlignment w:val="auto"/>
              <w:rPr>
                <w:rFonts w:hint="default"/>
                <w:color w:val="auto"/>
                <w:szCs w:val="21"/>
              </w:rPr>
            </w:pPr>
            <w:r>
              <w:rPr>
                <w:rFonts w:hint="eastAsia"/>
                <w:color w:val="auto"/>
                <w:szCs w:val="21"/>
              </w:rPr>
              <w:t>（2）</w:t>
            </w:r>
            <w:r>
              <w:rPr>
                <w:rFonts w:hint="default"/>
                <w:color w:val="auto"/>
                <w:szCs w:val="21"/>
              </w:rPr>
              <w:t>医院垃圾分类收集，分类处理。医疗废物收集、贮存、转运使用专用工具，运送工具使用后应当及时消毒和清洁。运送过程加强管理，减少事故发生。</w:t>
            </w:r>
          </w:p>
          <w:p w14:paraId="13A057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53" w:leftChars="-25" w:right="-53" w:rightChars="-25" w:firstLine="420"/>
              <w:textAlignment w:val="auto"/>
              <w:rPr>
                <w:rFonts w:hint="default"/>
                <w:color w:val="auto"/>
                <w:szCs w:val="21"/>
              </w:rPr>
            </w:pPr>
            <w:r>
              <w:rPr>
                <w:rFonts w:hint="eastAsia"/>
                <w:color w:val="auto"/>
                <w:szCs w:val="21"/>
              </w:rPr>
              <w:t>（3）</w:t>
            </w:r>
            <w:r>
              <w:rPr>
                <w:rFonts w:hint="default"/>
                <w:color w:val="auto"/>
                <w:szCs w:val="21"/>
              </w:rPr>
              <w:t>医院一旦发现有传染病人就诊，应明确告知传染病的防治不属于本院诊疗范围，劝其到其他医院就诊，并派专人陪同出院，以便防止其在医院内逗留，禁止该类病人与其他病人交谈、接触，缩小传染病病毒接触群体，严格控制传染病的对外蔓延，将传染对象降到最少。</w:t>
            </w:r>
          </w:p>
          <w:p w14:paraId="08433B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53" w:leftChars="-25" w:right="-53" w:rightChars="-25" w:firstLine="420"/>
              <w:textAlignment w:val="auto"/>
              <w:rPr>
                <w:rFonts w:hint="eastAsia" w:eastAsia="宋体"/>
                <w:color w:val="auto"/>
                <w:szCs w:val="21"/>
                <w:lang w:eastAsia="zh-CN"/>
              </w:rPr>
            </w:pPr>
            <w:r>
              <w:rPr>
                <w:rFonts w:hint="eastAsia"/>
                <w:color w:val="auto"/>
                <w:szCs w:val="21"/>
                <w:lang w:eastAsia="zh-CN"/>
              </w:rPr>
              <w:t>（</w:t>
            </w:r>
            <w:r>
              <w:rPr>
                <w:rFonts w:hint="eastAsia"/>
                <w:color w:val="auto"/>
                <w:szCs w:val="21"/>
                <w:lang w:val="en-US" w:eastAsia="zh-CN"/>
              </w:rPr>
              <w:t>4</w:t>
            </w:r>
            <w:r>
              <w:rPr>
                <w:rFonts w:hint="eastAsia"/>
                <w:color w:val="auto"/>
                <w:szCs w:val="21"/>
                <w:lang w:eastAsia="zh-CN"/>
              </w:rPr>
              <w:t>）根据《血液净化标准操作规程》规定，传染病隔离透析治疗区（阳性、</w:t>
            </w:r>
            <w:r>
              <w:rPr>
                <w:rFonts w:hint="eastAsia"/>
                <w:color w:val="auto"/>
                <w:szCs w:val="21"/>
                <w:lang w:val="en-US" w:eastAsia="zh-CN"/>
              </w:rPr>
              <w:t>仅限乙肝患者</w:t>
            </w:r>
            <w:r>
              <w:rPr>
                <w:rFonts w:hint="eastAsia"/>
                <w:color w:val="auto"/>
                <w:szCs w:val="21"/>
                <w:lang w:eastAsia="zh-CN"/>
              </w:rPr>
              <w:t>）的护理人员相对固定，同一班次的护理人员不能交叉管理传染病隔离透析治疗区（阳性）和普通透析治疗室区（阴性）的透析患者；传染病隔离透析治疗区（阳性）的护理人员应加强防护，进行血管通路连接或断开操作时，应佩戴防护面罩和穿隔离服等。</w:t>
            </w:r>
          </w:p>
        </w:tc>
      </w:tr>
      <w:tr w14:paraId="05C9EE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1688" w:type="dxa"/>
            <w:tcBorders>
              <w:top w:val="single" w:color="auto" w:sz="4" w:space="0"/>
              <w:left w:val="single" w:color="auto" w:sz="8" w:space="0"/>
              <w:bottom w:val="single" w:color="auto" w:sz="8" w:space="0"/>
              <w:right w:val="single" w:color="auto" w:sz="4" w:space="0"/>
            </w:tcBorders>
            <w:vAlign w:val="center"/>
          </w:tcPr>
          <w:p w14:paraId="23F33F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s="宋体"/>
                <w:color w:val="auto"/>
                <w:spacing w:val="-8"/>
                <w:szCs w:val="21"/>
              </w:rPr>
            </w:pPr>
            <w:r>
              <w:rPr>
                <w:rFonts w:hint="eastAsia" w:cs="宋体"/>
                <w:color w:val="auto"/>
                <w:spacing w:val="-8"/>
                <w:szCs w:val="21"/>
              </w:rPr>
              <w:t>其他环境</w:t>
            </w:r>
          </w:p>
          <w:p w14:paraId="046319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cs="宋体"/>
                <w:color w:val="auto"/>
                <w:spacing w:val="-8"/>
                <w:szCs w:val="21"/>
              </w:rPr>
            </w:pPr>
            <w:r>
              <w:rPr>
                <w:rFonts w:hint="eastAsia" w:cs="宋体"/>
                <w:color w:val="auto"/>
                <w:spacing w:val="-8"/>
                <w:szCs w:val="21"/>
              </w:rPr>
              <w:t>管理要求</w:t>
            </w:r>
          </w:p>
        </w:tc>
        <w:tc>
          <w:tcPr>
            <w:tcW w:w="7130" w:type="dxa"/>
            <w:gridSpan w:val="4"/>
            <w:tcBorders>
              <w:top w:val="single" w:color="auto" w:sz="4" w:space="0"/>
              <w:left w:val="single" w:color="auto" w:sz="4" w:space="0"/>
              <w:bottom w:val="single" w:color="auto" w:sz="8" w:space="0"/>
              <w:right w:val="single" w:color="auto" w:sz="8" w:space="0"/>
            </w:tcBorders>
            <w:vAlign w:val="center"/>
          </w:tcPr>
          <w:p w14:paraId="4DC975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53" w:leftChars="-25" w:right="-53" w:rightChars="-25"/>
              <w:jc w:val="center"/>
              <w:textAlignment w:val="auto"/>
              <w:rPr>
                <w:rFonts w:hint="default" w:cs="宋体"/>
                <w:color w:val="auto"/>
                <w:szCs w:val="21"/>
              </w:rPr>
            </w:pPr>
            <w:r>
              <w:rPr>
                <w:rFonts w:hint="default"/>
                <w:color w:val="auto"/>
                <w:szCs w:val="21"/>
              </w:rPr>
              <w:t>无</w:t>
            </w:r>
          </w:p>
        </w:tc>
      </w:tr>
    </w:tbl>
    <w:p w14:paraId="22B2E53F">
      <w:pPr>
        <w:pStyle w:val="12"/>
        <w:jc w:val="center"/>
        <w:outlineLvl w:val="0"/>
        <w:rPr>
          <w:rFonts w:ascii="Times New Roman" w:hAnsi="Times New Roman" w:eastAsia="黑体" w:cs="Times New Roman"/>
          <w:snapToGrid w:val="0"/>
          <w:color w:val="auto"/>
          <w:kern w:val="0"/>
          <w:sz w:val="30"/>
          <w:szCs w:val="30"/>
        </w:rPr>
      </w:pPr>
      <w:r>
        <w:rPr>
          <w:rFonts w:hint="eastAsia" w:ascii="Times New Roman" w:hAnsi="Times New Roman"/>
          <w:snapToGrid w:val="0"/>
          <w:color w:val="auto"/>
          <w:kern w:val="0"/>
          <w:szCs w:val="20"/>
        </w:rPr>
        <w:br w:type="page"/>
      </w:r>
      <w:r>
        <w:rPr>
          <w:rFonts w:hint="eastAsia" w:ascii="Times New Roman" w:hAnsi="Times New Roman" w:eastAsia="黑体"/>
          <w:snapToGrid w:val="0"/>
          <w:color w:val="auto"/>
          <w:sz w:val="30"/>
          <w:szCs w:val="30"/>
        </w:rPr>
        <w:t>六、结论</w:t>
      </w: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00"/>
      </w:tblGrid>
      <w:tr w14:paraId="20C6D8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95" w:hRule="atLeast"/>
          <w:jc w:val="center"/>
        </w:trPr>
        <w:tc>
          <w:tcPr>
            <w:tcW w:w="8900" w:type="dxa"/>
            <w:tcBorders>
              <w:top w:val="single" w:color="auto" w:sz="8" w:space="0"/>
              <w:left w:val="single" w:color="auto" w:sz="8" w:space="0"/>
              <w:bottom w:val="single" w:color="auto" w:sz="8" w:space="0"/>
              <w:right w:val="single" w:color="auto" w:sz="8" w:space="0"/>
            </w:tcBorders>
          </w:tcPr>
          <w:p w14:paraId="41C960F4">
            <w:pPr>
              <w:keepNext w:val="0"/>
              <w:keepLines w:val="0"/>
              <w:pageBreakBefore w:val="0"/>
              <w:widowControl w:val="0"/>
              <w:suppressLineNumbers w:val="0"/>
              <w:kinsoku/>
              <w:wordWrap/>
              <w:overflowPunct/>
              <w:topLinePunct w:val="0"/>
              <w:autoSpaceDE/>
              <w:autoSpaceDN/>
              <w:bidi w:val="0"/>
              <w:adjustRightInd/>
              <w:snapToGrid/>
              <w:spacing w:before="120" w:beforeLines="50" w:beforeAutospacing="0" w:after="0" w:afterLines="50" w:afterAutospacing="0" w:line="360" w:lineRule="auto"/>
              <w:ind w:left="0" w:right="0" w:firstLine="464" w:firstLineChars="200"/>
              <w:jc w:val="left"/>
              <w:textAlignment w:val="auto"/>
              <w:rPr>
                <w:rFonts w:hint="default" w:cs="宋体"/>
                <w:color w:val="auto"/>
                <w:szCs w:val="21"/>
              </w:rPr>
            </w:pPr>
            <w:r>
              <w:rPr>
                <w:rFonts w:hint="eastAsia" w:eastAsia="黑体" w:cs="黑体"/>
                <w:color w:val="auto"/>
                <w:spacing w:val="-4"/>
                <w:sz w:val="24"/>
                <w:szCs w:val="24"/>
              </w:rPr>
              <w:t>达州德仁中医医院有限公司“达州</w:t>
            </w:r>
            <w:r>
              <w:rPr>
                <w:rFonts w:hint="eastAsia" w:eastAsia="黑体" w:cs="黑体"/>
                <w:color w:val="auto"/>
                <w:spacing w:val="-4"/>
                <w:sz w:val="24"/>
                <w:szCs w:val="24"/>
                <w:lang w:val="en-US" w:eastAsia="zh-CN"/>
              </w:rPr>
              <w:t>德仁中医</w:t>
            </w:r>
            <w:r>
              <w:rPr>
                <w:rFonts w:hint="eastAsia" w:eastAsia="黑体" w:cs="黑体"/>
                <w:color w:val="auto"/>
                <w:spacing w:val="-4"/>
                <w:sz w:val="24"/>
                <w:szCs w:val="24"/>
              </w:rPr>
              <w:t>医院建设项目”属于医院建设项目，为国家大力发展的医疗卫生事业，社会效益明显，项目选址及平面布置合理可行，周围无明显的环境制约因素，拟采取的各项污染防治措施可使污染物达标排放。建设单位只要严格落实本环境影响报告表提出的环保措施，严格执行环保“三同时”制度，就能够确保项目所产生的污染物达标排放。从环保角度论证，本项目在所选地址建设是可行的。</w:t>
            </w:r>
          </w:p>
        </w:tc>
      </w:tr>
    </w:tbl>
    <w:p w14:paraId="6D5484C0">
      <w:pPr>
        <w:widowControl/>
        <w:jc w:val="left"/>
        <w:rPr>
          <w:color w:val="auto"/>
        </w:rPr>
        <w:sectPr>
          <w:pgSz w:w="11906" w:h="16838"/>
          <w:pgMar w:top="1701" w:right="1531" w:bottom="1701" w:left="1531" w:header="851" w:footer="851" w:gutter="0"/>
          <w:pgNumType w:fmt="numberInDash"/>
          <w:cols w:space="720" w:num="1"/>
        </w:sectPr>
      </w:pPr>
    </w:p>
    <w:p w14:paraId="19C072B7">
      <w:pPr>
        <w:pStyle w:val="12"/>
        <w:adjustRightInd w:val="0"/>
        <w:snapToGrid w:val="0"/>
        <w:spacing w:before="0" w:beforeAutospacing="0" w:after="0" w:afterAutospacing="0" w:line="648" w:lineRule="auto"/>
        <w:outlineLvl w:val="0"/>
        <w:rPr>
          <w:rFonts w:ascii="Times New Roman" w:hAnsi="Times New Roman" w:eastAsia="黑体" w:cs="Times New Roman"/>
          <w:snapToGrid w:val="0"/>
          <w:color w:val="auto"/>
          <w:kern w:val="0"/>
          <w:sz w:val="32"/>
          <w:szCs w:val="32"/>
        </w:rPr>
      </w:pPr>
      <w:r>
        <w:rPr>
          <w:rFonts w:hint="eastAsia" w:ascii="Times New Roman" w:hAnsi="Times New Roman" w:eastAsia="黑体"/>
          <w:snapToGrid w:val="0"/>
          <w:color w:val="auto"/>
          <w:sz w:val="32"/>
          <w:szCs w:val="32"/>
        </w:rPr>
        <w:t>附表</w:t>
      </w:r>
    </w:p>
    <w:p w14:paraId="36DB4000">
      <w:pPr>
        <w:pStyle w:val="12"/>
        <w:adjustRightInd w:val="0"/>
        <w:snapToGrid w:val="0"/>
        <w:spacing w:before="0" w:beforeAutospacing="0" w:after="0" w:afterAutospacing="0" w:line="552" w:lineRule="auto"/>
        <w:jc w:val="center"/>
        <w:outlineLvl w:val="0"/>
        <w:rPr>
          <w:rFonts w:ascii="Times New Roman" w:hAnsi="Times New Roman" w:eastAsia="方正小标宋_GBK"/>
          <w:snapToGrid w:val="0"/>
          <w:color w:val="auto"/>
          <w:sz w:val="38"/>
          <w:szCs w:val="38"/>
        </w:rPr>
      </w:pPr>
      <w:r>
        <w:rPr>
          <w:rFonts w:hint="eastAsia" w:ascii="Times New Roman" w:hAnsi="Times New Roman" w:eastAsia="方正小标宋_GBK"/>
          <w:snapToGrid w:val="0"/>
          <w:color w:val="auto"/>
          <w:sz w:val="38"/>
          <w:szCs w:val="38"/>
        </w:rPr>
        <w:t>建设项目污染物排放量汇总表</w:t>
      </w:r>
    </w:p>
    <w:tbl>
      <w:tblPr>
        <w:tblStyle w:val="13"/>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499"/>
        <w:gridCol w:w="1286"/>
      </w:tblGrid>
      <w:tr w14:paraId="343198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op w:val="single" w:color="auto" w:sz="8" w:space="0"/>
              <w:left w:val="single" w:color="auto" w:sz="8" w:space="0"/>
              <w:bottom w:val="single" w:color="auto" w:sz="4" w:space="0"/>
              <w:right w:val="single" w:color="auto" w:sz="4" w:space="0"/>
              <w:tl2br w:val="single" w:color="auto" w:sz="4" w:space="0"/>
            </w:tcBorders>
            <w:tcMar>
              <w:top w:w="0" w:type="dxa"/>
              <w:left w:w="28" w:type="dxa"/>
              <w:bottom w:w="0" w:type="dxa"/>
              <w:right w:w="28" w:type="dxa"/>
            </w:tcMar>
            <w:vAlign w:val="center"/>
          </w:tcPr>
          <w:p w14:paraId="680E14CB">
            <w:pPr>
              <w:pStyle w:val="23"/>
              <w:keepNext w:val="0"/>
              <w:keepLines w:val="0"/>
              <w:suppressLineNumbers w:val="0"/>
              <w:spacing w:before="31" w:beforeAutospacing="0" w:after="0" w:afterAutospacing="0" w:line="240" w:lineRule="auto"/>
              <w:ind w:left="0" w:right="0"/>
              <w:jc w:val="right"/>
              <w:rPr>
                <w:rFonts w:hint="default" w:ascii="Times New Roman" w:hAnsi="Times New Roman" w:eastAsia="黑体" w:cs="宋体"/>
                <w:snapToGrid w:val="0"/>
                <w:color w:val="auto"/>
                <w:spacing w:val="-6"/>
                <w:kern w:val="21"/>
                <w:szCs w:val="21"/>
              </w:rPr>
            </w:pPr>
            <w:r>
              <w:rPr>
                <w:rFonts w:hint="eastAsia" w:ascii="Times New Roman" w:hAnsi="Times New Roman" w:eastAsia="黑体" w:cs="宋体"/>
                <w:snapToGrid w:val="0"/>
                <w:color w:val="auto"/>
                <w:spacing w:val="-6"/>
                <w:kern w:val="21"/>
                <w:szCs w:val="21"/>
              </w:rPr>
              <w:t>项目</w:t>
            </w:r>
          </w:p>
          <w:p w14:paraId="01B00CC2">
            <w:pPr>
              <w:pStyle w:val="23"/>
              <w:keepNext w:val="0"/>
              <w:keepLines w:val="0"/>
              <w:suppressLineNumbers w:val="0"/>
              <w:spacing w:before="31" w:beforeAutospacing="0" w:after="0" w:afterAutospacing="0" w:line="240" w:lineRule="auto"/>
              <w:ind w:left="0" w:right="0"/>
              <w:jc w:val="left"/>
              <w:rPr>
                <w:rFonts w:hint="default" w:ascii="Times New Roman" w:hAnsi="Times New Roman" w:eastAsia="黑体" w:cs="宋体"/>
                <w:snapToGrid w:val="0"/>
                <w:color w:val="auto"/>
                <w:spacing w:val="-6"/>
                <w:kern w:val="21"/>
                <w:szCs w:val="21"/>
              </w:rPr>
            </w:pPr>
            <w:r>
              <w:rPr>
                <w:rFonts w:hint="eastAsia" w:ascii="Times New Roman" w:hAnsi="Times New Roman" w:eastAsia="黑体" w:cs="宋体"/>
                <w:snapToGrid w:val="0"/>
                <w:color w:val="auto"/>
                <w:spacing w:val="-6"/>
                <w:kern w:val="21"/>
                <w:szCs w:val="21"/>
              </w:rPr>
              <w:t>分类</w:t>
            </w:r>
          </w:p>
        </w:tc>
        <w:tc>
          <w:tcPr>
            <w:tcW w:w="1417"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5F75E441">
            <w:pPr>
              <w:pStyle w:val="23"/>
              <w:keepNext w:val="0"/>
              <w:keepLines w:val="0"/>
              <w:suppressLineNumbers w:val="0"/>
              <w:spacing w:before="31" w:beforeAutospacing="0" w:after="0" w:afterAutospacing="0" w:line="240" w:lineRule="auto"/>
              <w:ind w:left="0" w:right="0"/>
              <w:rPr>
                <w:rFonts w:hint="default" w:ascii="Times New Roman" w:hAnsi="Times New Roman" w:eastAsia="黑体" w:cs="宋体"/>
                <w:snapToGrid w:val="0"/>
                <w:color w:val="auto"/>
                <w:spacing w:val="-6"/>
                <w:kern w:val="21"/>
                <w:szCs w:val="21"/>
              </w:rPr>
            </w:pPr>
            <w:r>
              <w:rPr>
                <w:rFonts w:hint="eastAsia" w:ascii="Times New Roman" w:hAnsi="Times New Roman" w:eastAsia="黑体" w:cs="宋体"/>
                <w:snapToGrid w:val="0"/>
                <w:color w:val="auto"/>
                <w:spacing w:val="-6"/>
                <w:kern w:val="21"/>
                <w:szCs w:val="21"/>
              </w:rPr>
              <w:t>污染物名称</w:t>
            </w:r>
          </w:p>
        </w:tc>
        <w:tc>
          <w:tcPr>
            <w:tcW w:w="170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68E406AE">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6"/>
                <w:kern w:val="21"/>
                <w:szCs w:val="21"/>
              </w:rPr>
            </w:pPr>
            <w:r>
              <w:rPr>
                <w:rFonts w:hint="eastAsia" w:ascii="Times New Roman" w:hAnsi="Times New Roman" w:eastAsia="黑体"/>
                <w:snapToGrid w:val="0"/>
                <w:color w:val="auto"/>
                <w:spacing w:val="-6"/>
                <w:kern w:val="21"/>
                <w:szCs w:val="21"/>
              </w:rPr>
              <w:t>现有工程</w:t>
            </w:r>
          </w:p>
          <w:p w14:paraId="0CB9E2B2">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6"/>
                <w:kern w:val="21"/>
                <w:szCs w:val="21"/>
              </w:rPr>
            </w:pPr>
            <w:r>
              <w:rPr>
                <w:rFonts w:hint="eastAsia" w:ascii="Times New Roman" w:hAnsi="Times New Roman" w:eastAsia="黑体"/>
                <w:snapToGrid w:val="0"/>
                <w:color w:val="auto"/>
                <w:spacing w:val="-6"/>
                <w:kern w:val="21"/>
                <w:szCs w:val="21"/>
              </w:rPr>
              <w:t>排放量（固体废物产生量）</w:t>
            </w:r>
            <w:r>
              <w:rPr>
                <w:rFonts w:hint="eastAsia" w:ascii="Times New Roman" w:hAnsi="Times New Roman" w:eastAsia="黑体"/>
                <w:snapToGrid w:val="0"/>
                <w:color w:val="auto"/>
                <w:spacing w:val="-6"/>
                <w:kern w:val="21"/>
                <w:szCs w:val="21"/>
              </w:rPr>
              <w:fldChar w:fldCharType="begin"/>
            </w:r>
            <w:r>
              <w:rPr>
                <w:rFonts w:hint="eastAsia" w:ascii="Times New Roman" w:hAnsi="Times New Roman" w:eastAsia="黑体"/>
                <w:snapToGrid w:val="0"/>
                <w:color w:val="auto"/>
                <w:spacing w:val="-6"/>
                <w:kern w:val="21"/>
                <w:szCs w:val="21"/>
              </w:rPr>
              <w:instrText xml:space="preserve"> = 1 \* GB3 \* MERGEFORMAT </w:instrText>
            </w:r>
            <w:r>
              <w:rPr>
                <w:rFonts w:hint="eastAsia" w:ascii="Times New Roman" w:hAnsi="Times New Roman" w:eastAsia="黑体"/>
                <w:snapToGrid w:val="0"/>
                <w:color w:val="auto"/>
                <w:spacing w:val="-6"/>
                <w:kern w:val="21"/>
                <w:szCs w:val="21"/>
              </w:rPr>
              <w:fldChar w:fldCharType="separate"/>
            </w:r>
            <w:r>
              <w:rPr>
                <w:rFonts w:hint="eastAsia" w:ascii="Times New Roman" w:hAnsi="Times New Roman" w:eastAsia="黑体" w:cs="宋体"/>
                <w:color w:val="auto"/>
                <w:szCs w:val="21"/>
              </w:rPr>
              <w:t>①</w:t>
            </w:r>
            <w:r>
              <w:rPr>
                <w:rFonts w:hint="eastAsia" w:ascii="Times New Roman" w:hAnsi="Times New Roman" w:eastAsia="黑体"/>
                <w:snapToGrid w:val="0"/>
                <w:color w:val="auto"/>
                <w:spacing w:val="-6"/>
                <w:kern w:val="21"/>
                <w:szCs w:val="21"/>
              </w:rPr>
              <w:fldChar w:fldCharType="end"/>
            </w:r>
          </w:p>
        </w:tc>
        <w:tc>
          <w:tcPr>
            <w:tcW w:w="127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63C95A51">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6"/>
                <w:kern w:val="21"/>
                <w:szCs w:val="21"/>
              </w:rPr>
            </w:pPr>
            <w:r>
              <w:rPr>
                <w:rFonts w:hint="eastAsia" w:ascii="Times New Roman" w:hAnsi="Times New Roman" w:eastAsia="黑体"/>
                <w:snapToGrid w:val="0"/>
                <w:color w:val="auto"/>
                <w:spacing w:val="-6"/>
                <w:kern w:val="21"/>
                <w:szCs w:val="21"/>
              </w:rPr>
              <w:t>现有工程</w:t>
            </w:r>
          </w:p>
          <w:p w14:paraId="29031B43">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6"/>
                <w:kern w:val="21"/>
                <w:szCs w:val="21"/>
              </w:rPr>
            </w:pPr>
            <w:r>
              <w:rPr>
                <w:rFonts w:hint="eastAsia" w:ascii="Times New Roman" w:hAnsi="Times New Roman" w:eastAsia="黑体"/>
                <w:snapToGrid w:val="0"/>
                <w:color w:val="auto"/>
                <w:spacing w:val="-6"/>
                <w:kern w:val="21"/>
                <w:szCs w:val="21"/>
              </w:rPr>
              <w:t>许可排放量</w:t>
            </w:r>
          </w:p>
          <w:p w14:paraId="6515A1E1">
            <w:pPr>
              <w:pStyle w:val="23"/>
              <w:keepNext w:val="0"/>
              <w:keepLines w:val="0"/>
              <w:suppressLineNumbers w:val="0"/>
              <w:spacing w:before="31" w:beforeAutospacing="0" w:after="0" w:afterAutospacing="0"/>
              <w:ind w:left="0" w:right="0"/>
              <w:rPr>
                <w:rFonts w:hint="default" w:ascii="Times New Roman" w:hAnsi="Times New Roman" w:eastAsia="黑体"/>
                <w:snapToGrid w:val="0"/>
                <w:color w:val="auto"/>
                <w:spacing w:val="-6"/>
                <w:kern w:val="21"/>
                <w:szCs w:val="21"/>
              </w:rPr>
            </w:pPr>
            <w:r>
              <w:rPr>
                <w:rFonts w:hint="eastAsia" w:ascii="Times New Roman" w:hAnsi="Times New Roman" w:eastAsia="黑体"/>
                <w:snapToGrid w:val="0"/>
                <w:color w:val="auto"/>
                <w:spacing w:val="-6"/>
                <w:kern w:val="21"/>
                <w:szCs w:val="21"/>
              </w:rPr>
              <w:fldChar w:fldCharType="begin"/>
            </w:r>
            <w:r>
              <w:rPr>
                <w:rFonts w:hint="eastAsia" w:ascii="Times New Roman" w:hAnsi="Times New Roman" w:eastAsia="黑体"/>
                <w:snapToGrid w:val="0"/>
                <w:color w:val="auto"/>
                <w:spacing w:val="-6"/>
                <w:kern w:val="21"/>
                <w:szCs w:val="21"/>
              </w:rPr>
              <w:instrText xml:space="preserve"> = 2 \* GB3 \* MERGEFORMAT </w:instrText>
            </w:r>
            <w:r>
              <w:rPr>
                <w:rFonts w:hint="eastAsia" w:ascii="Times New Roman" w:hAnsi="Times New Roman" w:eastAsia="黑体"/>
                <w:snapToGrid w:val="0"/>
                <w:color w:val="auto"/>
                <w:spacing w:val="-6"/>
                <w:kern w:val="21"/>
                <w:szCs w:val="21"/>
              </w:rPr>
              <w:fldChar w:fldCharType="separate"/>
            </w:r>
            <w:r>
              <w:rPr>
                <w:rFonts w:hint="eastAsia" w:ascii="Times New Roman" w:hAnsi="Times New Roman" w:eastAsia="黑体" w:cs="宋体"/>
                <w:snapToGrid w:val="0"/>
                <w:color w:val="auto"/>
                <w:spacing w:val="-6"/>
                <w:kern w:val="21"/>
                <w:szCs w:val="21"/>
              </w:rPr>
              <w:t>②</w:t>
            </w:r>
            <w:r>
              <w:rPr>
                <w:rFonts w:hint="eastAsia" w:ascii="Times New Roman" w:hAnsi="Times New Roman" w:eastAsia="黑体"/>
                <w:snapToGrid w:val="0"/>
                <w:color w:val="auto"/>
                <w:spacing w:val="-6"/>
                <w:kern w:val="21"/>
                <w:szCs w:val="21"/>
              </w:rPr>
              <w:fldChar w:fldCharType="end"/>
            </w:r>
          </w:p>
        </w:tc>
        <w:tc>
          <w:tcPr>
            <w:tcW w:w="170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6B54BAFE">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6"/>
                <w:kern w:val="21"/>
                <w:szCs w:val="21"/>
              </w:rPr>
            </w:pPr>
            <w:r>
              <w:rPr>
                <w:rFonts w:hint="eastAsia" w:ascii="Times New Roman" w:hAnsi="Times New Roman" w:eastAsia="黑体"/>
                <w:snapToGrid w:val="0"/>
                <w:color w:val="auto"/>
                <w:spacing w:val="-6"/>
                <w:kern w:val="21"/>
                <w:szCs w:val="21"/>
              </w:rPr>
              <w:t>在建工程</w:t>
            </w:r>
          </w:p>
          <w:p w14:paraId="12FC3C14">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6"/>
                <w:kern w:val="21"/>
                <w:szCs w:val="21"/>
              </w:rPr>
            </w:pPr>
            <w:r>
              <w:rPr>
                <w:rFonts w:hint="eastAsia" w:ascii="Times New Roman" w:hAnsi="Times New Roman" w:eastAsia="黑体"/>
                <w:snapToGrid w:val="0"/>
                <w:color w:val="auto"/>
                <w:spacing w:val="-6"/>
                <w:kern w:val="21"/>
                <w:szCs w:val="21"/>
              </w:rPr>
              <w:t>排放量（固体废物产生量）</w:t>
            </w:r>
            <w:r>
              <w:rPr>
                <w:rFonts w:hint="eastAsia" w:ascii="Times New Roman" w:hAnsi="Times New Roman" w:eastAsia="黑体"/>
                <w:snapToGrid w:val="0"/>
                <w:color w:val="auto"/>
                <w:spacing w:val="-6"/>
                <w:kern w:val="21"/>
                <w:szCs w:val="21"/>
              </w:rPr>
              <w:fldChar w:fldCharType="begin"/>
            </w:r>
            <w:r>
              <w:rPr>
                <w:rFonts w:hint="eastAsia" w:ascii="Times New Roman" w:hAnsi="Times New Roman" w:eastAsia="黑体"/>
                <w:snapToGrid w:val="0"/>
                <w:color w:val="auto"/>
                <w:spacing w:val="-6"/>
                <w:kern w:val="21"/>
                <w:szCs w:val="21"/>
              </w:rPr>
              <w:instrText xml:space="preserve"> = 3 \* GB3 \* MERGEFORMAT </w:instrText>
            </w:r>
            <w:r>
              <w:rPr>
                <w:rFonts w:hint="eastAsia" w:ascii="Times New Roman" w:hAnsi="Times New Roman" w:eastAsia="黑体"/>
                <w:snapToGrid w:val="0"/>
                <w:color w:val="auto"/>
                <w:spacing w:val="-6"/>
                <w:kern w:val="21"/>
                <w:szCs w:val="21"/>
              </w:rPr>
              <w:fldChar w:fldCharType="separate"/>
            </w:r>
            <w:r>
              <w:rPr>
                <w:rFonts w:hint="eastAsia" w:ascii="Times New Roman" w:hAnsi="Times New Roman" w:eastAsia="黑体" w:cs="宋体"/>
                <w:color w:val="auto"/>
                <w:szCs w:val="21"/>
              </w:rPr>
              <w:t>③</w:t>
            </w:r>
            <w:r>
              <w:rPr>
                <w:rFonts w:hint="eastAsia" w:ascii="Times New Roman" w:hAnsi="Times New Roman" w:eastAsia="黑体"/>
                <w:snapToGrid w:val="0"/>
                <w:color w:val="auto"/>
                <w:spacing w:val="-6"/>
                <w:kern w:val="21"/>
                <w:szCs w:val="21"/>
              </w:rPr>
              <w:fldChar w:fldCharType="end"/>
            </w:r>
          </w:p>
        </w:tc>
        <w:tc>
          <w:tcPr>
            <w:tcW w:w="155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4EED3A8E">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6"/>
                <w:kern w:val="21"/>
                <w:szCs w:val="21"/>
              </w:rPr>
            </w:pPr>
            <w:r>
              <w:rPr>
                <w:rFonts w:hint="eastAsia" w:ascii="Times New Roman" w:hAnsi="Times New Roman" w:eastAsia="黑体"/>
                <w:snapToGrid w:val="0"/>
                <w:color w:val="auto"/>
                <w:spacing w:val="-6"/>
                <w:kern w:val="21"/>
                <w:szCs w:val="21"/>
              </w:rPr>
              <w:t>本项目</w:t>
            </w:r>
          </w:p>
          <w:p w14:paraId="3FEEC912">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6"/>
                <w:kern w:val="21"/>
                <w:szCs w:val="21"/>
              </w:rPr>
            </w:pPr>
            <w:r>
              <w:rPr>
                <w:rFonts w:hint="eastAsia" w:ascii="Times New Roman" w:hAnsi="Times New Roman" w:eastAsia="黑体"/>
                <w:snapToGrid w:val="0"/>
                <w:color w:val="auto"/>
                <w:spacing w:val="-6"/>
                <w:kern w:val="21"/>
                <w:szCs w:val="21"/>
              </w:rPr>
              <w:t>排放量（固体废物产生量）</w:t>
            </w:r>
            <w:r>
              <w:rPr>
                <w:rFonts w:hint="eastAsia" w:ascii="Times New Roman" w:hAnsi="Times New Roman" w:eastAsia="黑体"/>
                <w:snapToGrid w:val="0"/>
                <w:color w:val="auto"/>
                <w:spacing w:val="-6"/>
                <w:kern w:val="21"/>
                <w:szCs w:val="21"/>
              </w:rPr>
              <w:fldChar w:fldCharType="begin"/>
            </w:r>
            <w:r>
              <w:rPr>
                <w:rFonts w:hint="eastAsia" w:ascii="Times New Roman" w:hAnsi="Times New Roman" w:eastAsia="黑体"/>
                <w:snapToGrid w:val="0"/>
                <w:color w:val="auto"/>
                <w:spacing w:val="-6"/>
                <w:kern w:val="21"/>
                <w:szCs w:val="21"/>
              </w:rPr>
              <w:instrText xml:space="preserve"> = 4 \* GB3 \* MERGEFORMAT </w:instrText>
            </w:r>
            <w:r>
              <w:rPr>
                <w:rFonts w:hint="eastAsia" w:ascii="Times New Roman" w:hAnsi="Times New Roman" w:eastAsia="黑体"/>
                <w:snapToGrid w:val="0"/>
                <w:color w:val="auto"/>
                <w:spacing w:val="-6"/>
                <w:kern w:val="21"/>
                <w:szCs w:val="21"/>
              </w:rPr>
              <w:fldChar w:fldCharType="separate"/>
            </w:r>
            <w:r>
              <w:rPr>
                <w:rFonts w:hint="eastAsia" w:ascii="Times New Roman" w:hAnsi="Times New Roman" w:eastAsia="黑体" w:cs="宋体"/>
                <w:color w:val="auto"/>
                <w:szCs w:val="21"/>
              </w:rPr>
              <w:t>④</w:t>
            </w:r>
            <w:r>
              <w:rPr>
                <w:rFonts w:hint="eastAsia" w:ascii="Times New Roman" w:hAnsi="Times New Roman" w:eastAsia="黑体"/>
                <w:snapToGrid w:val="0"/>
                <w:color w:val="auto"/>
                <w:spacing w:val="-6"/>
                <w:kern w:val="21"/>
                <w:szCs w:val="21"/>
              </w:rPr>
              <w:fldChar w:fldCharType="end"/>
            </w:r>
          </w:p>
        </w:tc>
        <w:tc>
          <w:tcPr>
            <w:tcW w:w="176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7DE8E56F">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16"/>
                <w:kern w:val="21"/>
                <w:szCs w:val="21"/>
              </w:rPr>
            </w:pPr>
            <w:r>
              <w:rPr>
                <w:rFonts w:hint="eastAsia" w:ascii="Times New Roman" w:hAnsi="Times New Roman" w:eastAsia="黑体"/>
                <w:snapToGrid w:val="0"/>
                <w:color w:val="auto"/>
                <w:spacing w:val="-16"/>
                <w:kern w:val="21"/>
                <w:szCs w:val="21"/>
              </w:rPr>
              <w:t>以新带老削减量</w:t>
            </w:r>
          </w:p>
          <w:p w14:paraId="6D7B4D5C">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16"/>
                <w:kern w:val="21"/>
                <w:szCs w:val="21"/>
              </w:rPr>
            </w:pPr>
            <w:r>
              <w:rPr>
                <w:rFonts w:hint="eastAsia" w:ascii="Times New Roman" w:hAnsi="Times New Roman" w:eastAsia="黑体"/>
                <w:snapToGrid w:val="0"/>
                <w:color w:val="auto"/>
                <w:spacing w:val="-16"/>
                <w:kern w:val="21"/>
                <w:szCs w:val="21"/>
              </w:rPr>
              <w:t>（新建项目不填）</w:t>
            </w:r>
            <w:r>
              <w:rPr>
                <w:rFonts w:hint="eastAsia" w:ascii="Times New Roman" w:hAnsi="Times New Roman" w:eastAsia="黑体"/>
                <w:snapToGrid w:val="0"/>
                <w:color w:val="auto"/>
                <w:spacing w:val="-16"/>
                <w:kern w:val="21"/>
                <w:szCs w:val="21"/>
              </w:rPr>
              <w:fldChar w:fldCharType="begin"/>
            </w:r>
            <w:r>
              <w:rPr>
                <w:rFonts w:hint="eastAsia" w:ascii="Times New Roman" w:hAnsi="Times New Roman" w:eastAsia="黑体"/>
                <w:snapToGrid w:val="0"/>
                <w:color w:val="auto"/>
                <w:spacing w:val="-16"/>
                <w:kern w:val="21"/>
                <w:szCs w:val="21"/>
              </w:rPr>
              <w:instrText xml:space="preserve"> = 5 \* GB3 \* MERGEFORMAT </w:instrText>
            </w:r>
            <w:r>
              <w:rPr>
                <w:rFonts w:hint="eastAsia" w:ascii="Times New Roman" w:hAnsi="Times New Roman" w:eastAsia="黑体"/>
                <w:snapToGrid w:val="0"/>
                <w:color w:val="auto"/>
                <w:spacing w:val="-16"/>
                <w:kern w:val="21"/>
                <w:szCs w:val="21"/>
              </w:rPr>
              <w:fldChar w:fldCharType="separate"/>
            </w:r>
            <w:r>
              <w:rPr>
                <w:rFonts w:hint="eastAsia" w:ascii="Times New Roman" w:hAnsi="Times New Roman" w:eastAsia="黑体" w:cs="宋体"/>
                <w:color w:val="auto"/>
                <w:szCs w:val="21"/>
              </w:rPr>
              <w:t>⑤</w:t>
            </w:r>
            <w:r>
              <w:rPr>
                <w:rFonts w:hint="eastAsia" w:ascii="Times New Roman" w:hAnsi="Times New Roman" w:eastAsia="黑体"/>
                <w:snapToGrid w:val="0"/>
                <w:color w:val="auto"/>
                <w:spacing w:val="-16"/>
                <w:kern w:val="21"/>
                <w:szCs w:val="21"/>
              </w:rPr>
              <w:fldChar w:fldCharType="end"/>
            </w:r>
          </w:p>
        </w:tc>
        <w:tc>
          <w:tcPr>
            <w:tcW w:w="149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14:paraId="7DCC5758">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16"/>
                <w:kern w:val="21"/>
                <w:szCs w:val="21"/>
              </w:rPr>
            </w:pPr>
            <w:r>
              <w:rPr>
                <w:rFonts w:hint="eastAsia" w:ascii="Times New Roman" w:hAnsi="Times New Roman" w:eastAsia="黑体"/>
                <w:snapToGrid w:val="0"/>
                <w:color w:val="auto"/>
                <w:spacing w:val="-16"/>
                <w:kern w:val="21"/>
                <w:szCs w:val="21"/>
              </w:rPr>
              <w:t>本项目建成后</w:t>
            </w:r>
          </w:p>
          <w:p w14:paraId="69D676A9">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16"/>
                <w:kern w:val="21"/>
                <w:szCs w:val="21"/>
              </w:rPr>
            </w:pPr>
            <w:r>
              <w:rPr>
                <w:rFonts w:hint="eastAsia" w:ascii="Times New Roman" w:hAnsi="Times New Roman" w:eastAsia="黑体"/>
                <w:snapToGrid w:val="0"/>
                <w:color w:val="auto"/>
                <w:spacing w:val="-16"/>
                <w:kern w:val="21"/>
                <w:szCs w:val="21"/>
              </w:rPr>
              <w:t>全厂排放量（固体废物产生量）</w:t>
            </w:r>
            <w:r>
              <w:rPr>
                <w:rFonts w:hint="eastAsia" w:ascii="Times New Roman" w:hAnsi="Times New Roman" w:eastAsia="黑体"/>
                <w:snapToGrid w:val="0"/>
                <w:color w:val="auto"/>
                <w:spacing w:val="-16"/>
                <w:kern w:val="21"/>
                <w:szCs w:val="21"/>
              </w:rPr>
              <w:fldChar w:fldCharType="begin"/>
            </w:r>
            <w:r>
              <w:rPr>
                <w:rFonts w:hint="eastAsia" w:ascii="Times New Roman" w:hAnsi="Times New Roman" w:eastAsia="黑体"/>
                <w:snapToGrid w:val="0"/>
                <w:color w:val="auto"/>
                <w:spacing w:val="-16"/>
                <w:kern w:val="21"/>
                <w:szCs w:val="21"/>
              </w:rPr>
              <w:instrText xml:space="preserve"> = 6 \* GB3 \* MERGEFORMAT </w:instrText>
            </w:r>
            <w:r>
              <w:rPr>
                <w:rFonts w:hint="eastAsia" w:ascii="Times New Roman" w:hAnsi="Times New Roman" w:eastAsia="黑体"/>
                <w:snapToGrid w:val="0"/>
                <w:color w:val="auto"/>
                <w:spacing w:val="-16"/>
                <w:kern w:val="21"/>
                <w:szCs w:val="21"/>
              </w:rPr>
              <w:fldChar w:fldCharType="separate"/>
            </w:r>
            <w:r>
              <w:rPr>
                <w:rFonts w:hint="eastAsia" w:ascii="Times New Roman" w:hAnsi="Times New Roman" w:eastAsia="黑体" w:cs="宋体"/>
                <w:color w:val="auto"/>
                <w:szCs w:val="21"/>
              </w:rPr>
              <w:t>⑥</w:t>
            </w:r>
            <w:r>
              <w:rPr>
                <w:rFonts w:hint="eastAsia" w:ascii="Times New Roman" w:hAnsi="Times New Roman" w:eastAsia="黑体"/>
                <w:snapToGrid w:val="0"/>
                <w:color w:val="auto"/>
                <w:spacing w:val="-16"/>
                <w:kern w:val="21"/>
                <w:szCs w:val="21"/>
              </w:rPr>
              <w:fldChar w:fldCharType="end"/>
            </w:r>
          </w:p>
        </w:tc>
        <w:tc>
          <w:tcPr>
            <w:tcW w:w="1286" w:type="dxa"/>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14:paraId="7EC12432">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6"/>
                <w:kern w:val="21"/>
                <w:szCs w:val="21"/>
              </w:rPr>
            </w:pPr>
            <w:r>
              <w:rPr>
                <w:rFonts w:hint="eastAsia" w:ascii="Times New Roman" w:hAnsi="Times New Roman" w:eastAsia="黑体"/>
                <w:snapToGrid w:val="0"/>
                <w:color w:val="auto"/>
                <w:spacing w:val="-6"/>
                <w:kern w:val="21"/>
                <w:szCs w:val="21"/>
              </w:rPr>
              <w:t>变化量</w:t>
            </w:r>
          </w:p>
          <w:p w14:paraId="5B720003">
            <w:pPr>
              <w:pStyle w:val="23"/>
              <w:keepNext w:val="0"/>
              <w:keepLines w:val="0"/>
              <w:suppressLineNumbers w:val="0"/>
              <w:spacing w:before="31" w:beforeAutospacing="0" w:after="0" w:afterAutospacing="0" w:line="240" w:lineRule="auto"/>
              <w:ind w:left="0" w:right="0"/>
              <w:rPr>
                <w:rFonts w:hint="default" w:ascii="Times New Roman" w:hAnsi="Times New Roman" w:eastAsia="黑体"/>
                <w:snapToGrid w:val="0"/>
                <w:color w:val="auto"/>
                <w:spacing w:val="-6"/>
                <w:kern w:val="21"/>
                <w:szCs w:val="21"/>
              </w:rPr>
            </w:pPr>
            <w:r>
              <w:rPr>
                <w:rFonts w:hint="eastAsia" w:ascii="Times New Roman" w:hAnsi="Times New Roman" w:eastAsia="黑体"/>
                <w:snapToGrid w:val="0"/>
                <w:color w:val="auto"/>
                <w:spacing w:val="-6"/>
                <w:kern w:val="21"/>
                <w:szCs w:val="21"/>
              </w:rPr>
              <w:fldChar w:fldCharType="begin"/>
            </w:r>
            <w:r>
              <w:rPr>
                <w:rFonts w:hint="eastAsia" w:ascii="Times New Roman" w:hAnsi="Times New Roman" w:eastAsia="黑体"/>
                <w:snapToGrid w:val="0"/>
                <w:color w:val="auto"/>
                <w:spacing w:val="-6"/>
                <w:kern w:val="21"/>
                <w:szCs w:val="21"/>
              </w:rPr>
              <w:instrText xml:space="preserve"> = 7 \* GB3 \* MERGEFORMAT </w:instrText>
            </w:r>
            <w:r>
              <w:rPr>
                <w:rFonts w:hint="eastAsia" w:ascii="Times New Roman" w:hAnsi="Times New Roman" w:eastAsia="黑体"/>
                <w:snapToGrid w:val="0"/>
                <w:color w:val="auto"/>
                <w:spacing w:val="-6"/>
                <w:kern w:val="21"/>
                <w:szCs w:val="21"/>
              </w:rPr>
              <w:fldChar w:fldCharType="separate"/>
            </w:r>
            <w:r>
              <w:rPr>
                <w:rFonts w:hint="eastAsia" w:ascii="Times New Roman" w:hAnsi="Times New Roman" w:eastAsia="黑体" w:cs="宋体"/>
                <w:color w:val="auto"/>
                <w:szCs w:val="21"/>
              </w:rPr>
              <w:t>⑦</w:t>
            </w:r>
            <w:r>
              <w:rPr>
                <w:rFonts w:hint="eastAsia" w:ascii="Times New Roman" w:hAnsi="Times New Roman" w:eastAsia="黑体"/>
                <w:snapToGrid w:val="0"/>
                <w:color w:val="auto"/>
                <w:spacing w:val="-6"/>
                <w:kern w:val="21"/>
                <w:szCs w:val="21"/>
              </w:rPr>
              <w:fldChar w:fldCharType="end"/>
            </w:r>
          </w:p>
        </w:tc>
      </w:tr>
      <w:tr w14:paraId="3171FC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right w:val="single" w:color="auto" w:sz="4" w:space="0"/>
            </w:tcBorders>
            <w:vAlign w:val="center"/>
          </w:tcPr>
          <w:p w14:paraId="315FB87D">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废气</w:t>
            </w:r>
          </w:p>
        </w:tc>
        <w:tc>
          <w:tcPr>
            <w:tcW w:w="1417" w:type="dxa"/>
            <w:tcBorders>
              <w:top w:val="single" w:color="auto" w:sz="4" w:space="0"/>
              <w:left w:val="single" w:color="auto" w:sz="4" w:space="0"/>
              <w:bottom w:val="single" w:color="auto" w:sz="4" w:space="0"/>
              <w:right w:val="single" w:color="auto" w:sz="4" w:space="0"/>
            </w:tcBorders>
            <w:vAlign w:val="center"/>
          </w:tcPr>
          <w:p w14:paraId="2595122C">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vertAlign w:val="subscript"/>
              </w:rPr>
            </w:pPr>
            <w:r>
              <w:rPr>
                <w:rFonts w:hint="eastAsia" w:ascii="Times New Roman" w:hAnsi="Times New Roman" w:cs="宋体"/>
                <w:snapToGrid w:val="0"/>
                <w:color w:val="auto"/>
                <w:kern w:val="21"/>
                <w:szCs w:val="21"/>
              </w:rPr>
              <w:t>NH</w:t>
            </w:r>
            <w:r>
              <w:rPr>
                <w:rFonts w:hint="eastAsia" w:ascii="Times New Roman" w:hAnsi="Times New Roman" w:cs="宋体"/>
                <w:snapToGrid w:val="0"/>
                <w:color w:val="auto"/>
                <w:kern w:val="21"/>
                <w:szCs w:val="21"/>
                <w:vertAlign w:val="subscript"/>
              </w:rPr>
              <w:t>3</w:t>
            </w:r>
          </w:p>
        </w:tc>
        <w:tc>
          <w:tcPr>
            <w:tcW w:w="1701" w:type="dxa"/>
            <w:tcBorders>
              <w:top w:val="single" w:color="auto" w:sz="4" w:space="0"/>
              <w:left w:val="single" w:color="auto" w:sz="4" w:space="0"/>
              <w:bottom w:val="single" w:color="auto" w:sz="4" w:space="0"/>
              <w:right w:val="single" w:color="auto" w:sz="4" w:space="0"/>
            </w:tcBorders>
            <w:vAlign w:val="center"/>
          </w:tcPr>
          <w:p w14:paraId="143DD5A3">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7E497F8C">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14:paraId="6C300102">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687831C0">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0.00065t/a</w:t>
            </w:r>
          </w:p>
        </w:tc>
        <w:tc>
          <w:tcPr>
            <w:tcW w:w="1761" w:type="dxa"/>
            <w:tcBorders>
              <w:top w:val="single" w:color="auto" w:sz="4" w:space="0"/>
              <w:left w:val="single" w:color="auto" w:sz="4" w:space="0"/>
              <w:bottom w:val="single" w:color="auto" w:sz="4" w:space="0"/>
              <w:right w:val="single" w:color="auto" w:sz="4" w:space="0"/>
            </w:tcBorders>
            <w:vAlign w:val="center"/>
          </w:tcPr>
          <w:p w14:paraId="0126D279">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499" w:type="dxa"/>
            <w:tcBorders>
              <w:top w:val="single" w:color="auto" w:sz="4" w:space="0"/>
              <w:left w:val="single" w:color="auto" w:sz="4" w:space="0"/>
              <w:bottom w:val="single" w:color="auto" w:sz="4" w:space="0"/>
              <w:right w:val="single" w:color="auto" w:sz="4" w:space="0"/>
            </w:tcBorders>
            <w:vAlign w:val="center"/>
          </w:tcPr>
          <w:p w14:paraId="0AB3EBF9">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86" w:type="dxa"/>
            <w:tcBorders>
              <w:top w:val="single" w:color="auto" w:sz="4" w:space="0"/>
              <w:left w:val="single" w:color="auto" w:sz="4" w:space="0"/>
              <w:bottom w:val="single" w:color="auto" w:sz="4" w:space="0"/>
              <w:right w:val="single" w:color="auto" w:sz="8" w:space="0"/>
            </w:tcBorders>
            <w:vAlign w:val="center"/>
          </w:tcPr>
          <w:p w14:paraId="122EF38A">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r>
      <w:tr w14:paraId="19EBE2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right w:val="single" w:color="auto" w:sz="4" w:space="0"/>
            </w:tcBorders>
            <w:vAlign w:val="center"/>
          </w:tcPr>
          <w:p w14:paraId="21D4F91D">
            <w:pPr>
              <w:keepNext w:val="0"/>
              <w:keepLines w:val="0"/>
              <w:widowControl/>
              <w:suppressLineNumbers w:val="0"/>
              <w:spacing w:before="0" w:beforeAutospacing="0" w:after="0" w:afterAutospacing="0"/>
              <w:ind w:left="0" w:right="0"/>
              <w:jc w:val="left"/>
              <w:rPr>
                <w:rFonts w:hint="default" w:cs="宋体"/>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0562D1DB">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H</w:t>
            </w:r>
            <w:r>
              <w:rPr>
                <w:rFonts w:hint="eastAsia" w:ascii="Times New Roman" w:hAnsi="Times New Roman" w:cs="宋体"/>
                <w:snapToGrid w:val="0"/>
                <w:color w:val="auto"/>
                <w:kern w:val="21"/>
                <w:szCs w:val="21"/>
                <w:vertAlign w:val="subscript"/>
              </w:rPr>
              <w:t>2</w:t>
            </w:r>
            <w:r>
              <w:rPr>
                <w:rFonts w:hint="eastAsia" w:ascii="Times New Roman" w:hAnsi="Times New Roman" w:cs="宋体"/>
                <w:snapToGrid w:val="0"/>
                <w:color w:val="auto"/>
                <w:kern w:val="21"/>
                <w:szCs w:val="21"/>
              </w:rPr>
              <w:t>S</w:t>
            </w:r>
          </w:p>
        </w:tc>
        <w:tc>
          <w:tcPr>
            <w:tcW w:w="1701" w:type="dxa"/>
            <w:tcBorders>
              <w:top w:val="single" w:color="auto" w:sz="4" w:space="0"/>
              <w:left w:val="single" w:color="auto" w:sz="4" w:space="0"/>
              <w:bottom w:val="single" w:color="auto" w:sz="4" w:space="0"/>
              <w:right w:val="single" w:color="auto" w:sz="4" w:space="0"/>
            </w:tcBorders>
            <w:vAlign w:val="center"/>
          </w:tcPr>
          <w:p w14:paraId="2BD421F8">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718BD8F8">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14:paraId="7703817C">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0A4BA184">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2.495x10</w:t>
            </w:r>
            <w:r>
              <w:rPr>
                <w:rFonts w:hint="eastAsia" w:ascii="Times New Roman" w:hAnsi="Times New Roman" w:cs="宋体"/>
                <w:snapToGrid w:val="0"/>
                <w:color w:val="auto"/>
                <w:kern w:val="21"/>
                <w:szCs w:val="21"/>
                <w:vertAlign w:val="superscript"/>
              </w:rPr>
              <w:t>-5</w:t>
            </w:r>
            <w:r>
              <w:rPr>
                <w:rFonts w:hint="eastAsia" w:ascii="Times New Roman" w:hAnsi="Times New Roman" w:cs="宋体"/>
                <w:snapToGrid w:val="0"/>
                <w:color w:val="auto"/>
                <w:kern w:val="21"/>
                <w:szCs w:val="21"/>
              </w:rPr>
              <w:t>t/a</w:t>
            </w:r>
          </w:p>
        </w:tc>
        <w:tc>
          <w:tcPr>
            <w:tcW w:w="1761" w:type="dxa"/>
            <w:tcBorders>
              <w:top w:val="single" w:color="auto" w:sz="4" w:space="0"/>
              <w:left w:val="single" w:color="auto" w:sz="4" w:space="0"/>
              <w:bottom w:val="single" w:color="auto" w:sz="4" w:space="0"/>
              <w:right w:val="single" w:color="auto" w:sz="4" w:space="0"/>
            </w:tcBorders>
            <w:vAlign w:val="center"/>
          </w:tcPr>
          <w:p w14:paraId="0D58C404">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499" w:type="dxa"/>
            <w:tcBorders>
              <w:top w:val="single" w:color="auto" w:sz="4" w:space="0"/>
              <w:left w:val="single" w:color="auto" w:sz="4" w:space="0"/>
              <w:bottom w:val="single" w:color="auto" w:sz="4" w:space="0"/>
              <w:right w:val="single" w:color="auto" w:sz="4" w:space="0"/>
            </w:tcBorders>
            <w:vAlign w:val="center"/>
          </w:tcPr>
          <w:p w14:paraId="52CB4E63">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86" w:type="dxa"/>
            <w:tcBorders>
              <w:top w:val="single" w:color="auto" w:sz="4" w:space="0"/>
              <w:left w:val="single" w:color="auto" w:sz="4" w:space="0"/>
              <w:bottom w:val="single" w:color="auto" w:sz="4" w:space="0"/>
              <w:right w:val="single" w:color="auto" w:sz="8" w:space="0"/>
            </w:tcBorders>
            <w:vAlign w:val="center"/>
          </w:tcPr>
          <w:p w14:paraId="6D4492B0">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r>
      <w:tr w14:paraId="043B49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bottom w:val="single" w:color="auto" w:sz="4" w:space="0"/>
              <w:right w:val="single" w:color="auto" w:sz="4" w:space="0"/>
            </w:tcBorders>
            <w:vAlign w:val="center"/>
          </w:tcPr>
          <w:p w14:paraId="3115C195">
            <w:pPr>
              <w:keepNext w:val="0"/>
              <w:keepLines w:val="0"/>
              <w:widowControl/>
              <w:suppressLineNumbers w:val="0"/>
              <w:spacing w:before="0" w:beforeAutospacing="0" w:after="0" w:afterAutospacing="0"/>
              <w:ind w:left="0" w:right="0"/>
              <w:jc w:val="left"/>
              <w:rPr>
                <w:rFonts w:hint="default" w:cs="宋体"/>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4E8D64CC">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14:paraId="38F70003">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00C6527E">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14:paraId="5065E3DE">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1E488D00">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761" w:type="dxa"/>
            <w:tcBorders>
              <w:top w:val="single" w:color="auto" w:sz="4" w:space="0"/>
              <w:left w:val="single" w:color="auto" w:sz="4" w:space="0"/>
              <w:bottom w:val="single" w:color="auto" w:sz="4" w:space="0"/>
              <w:right w:val="single" w:color="auto" w:sz="4" w:space="0"/>
            </w:tcBorders>
            <w:vAlign w:val="center"/>
          </w:tcPr>
          <w:p w14:paraId="76F6DB5F">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499" w:type="dxa"/>
            <w:tcBorders>
              <w:top w:val="single" w:color="auto" w:sz="4" w:space="0"/>
              <w:left w:val="single" w:color="auto" w:sz="4" w:space="0"/>
              <w:bottom w:val="single" w:color="auto" w:sz="4" w:space="0"/>
              <w:right w:val="single" w:color="auto" w:sz="4" w:space="0"/>
            </w:tcBorders>
            <w:vAlign w:val="center"/>
          </w:tcPr>
          <w:p w14:paraId="4BB5680D">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86" w:type="dxa"/>
            <w:tcBorders>
              <w:top w:val="single" w:color="auto" w:sz="4" w:space="0"/>
              <w:left w:val="single" w:color="auto" w:sz="4" w:space="0"/>
              <w:bottom w:val="single" w:color="auto" w:sz="4" w:space="0"/>
              <w:right w:val="single" w:color="auto" w:sz="8" w:space="0"/>
            </w:tcBorders>
            <w:vAlign w:val="center"/>
          </w:tcPr>
          <w:p w14:paraId="3F367B25">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r>
      <w:tr w14:paraId="3F8A64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tcBorders>
              <w:top w:val="single" w:color="auto" w:sz="4" w:space="0"/>
              <w:left w:val="single" w:color="auto" w:sz="8" w:space="0"/>
              <w:bottom w:val="single" w:color="auto" w:sz="4" w:space="0"/>
              <w:right w:val="single" w:color="auto" w:sz="4" w:space="0"/>
            </w:tcBorders>
            <w:vAlign w:val="center"/>
          </w:tcPr>
          <w:p w14:paraId="21EFB573">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废水</w:t>
            </w:r>
          </w:p>
        </w:tc>
        <w:tc>
          <w:tcPr>
            <w:tcW w:w="1417" w:type="dxa"/>
            <w:tcBorders>
              <w:top w:val="single" w:color="auto" w:sz="4" w:space="0"/>
              <w:left w:val="single" w:color="auto" w:sz="4" w:space="0"/>
              <w:bottom w:val="single" w:color="auto" w:sz="4" w:space="0"/>
              <w:right w:val="single" w:color="auto" w:sz="4" w:space="0"/>
            </w:tcBorders>
            <w:vAlign w:val="center"/>
          </w:tcPr>
          <w:p w14:paraId="5B36ACE8">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default" w:ascii="Times New Roman" w:hAnsi="Times New Roman" w:cs="宋体"/>
                <w:snapToGrid w:val="0"/>
                <w:color w:val="auto"/>
                <w:kern w:val="21"/>
                <w:szCs w:val="21"/>
              </w:rPr>
              <w:t>废水</w:t>
            </w:r>
          </w:p>
        </w:tc>
        <w:tc>
          <w:tcPr>
            <w:tcW w:w="1701" w:type="dxa"/>
            <w:tcBorders>
              <w:top w:val="single" w:color="auto" w:sz="4" w:space="0"/>
              <w:left w:val="single" w:color="auto" w:sz="4" w:space="0"/>
              <w:bottom w:val="single" w:color="auto" w:sz="4" w:space="0"/>
              <w:right w:val="single" w:color="auto" w:sz="4" w:space="0"/>
            </w:tcBorders>
            <w:vAlign w:val="center"/>
          </w:tcPr>
          <w:p w14:paraId="32D1606A">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7E4CEC52">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14:paraId="15615AC3">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16874698">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lang w:val="en-US" w:eastAsia="zh-CN"/>
              </w:rPr>
              <w:t>11293.1</w:t>
            </w:r>
            <w:r>
              <w:rPr>
                <w:rFonts w:hint="eastAsia" w:ascii="Times New Roman" w:hAnsi="Times New Roman" w:cs="宋体"/>
                <w:snapToGrid w:val="0"/>
                <w:color w:val="auto"/>
                <w:kern w:val="21"/>
                <w:szCs w:val="21"/>
              </w:rPr>
              <w:t>m</w:t>
            </w:r>
            <w:r>
              <w:rPr>
                <w:rFonts w:hint="eastAsia" w:ascii="Times New Roman" w:hAnsi="Times New Roman" w:cs="宋体"/>
                <w:snapToGrid w:val="0"/>
                <w:color w:val="auto"/>
                <w:kern w:val="21"/>
                <w:szCs w:val="21"/>
                <w:vertAlign w:val="superscript"/>
              </w:rPr>
              <w:t>3</w:t>
            </w:r>
            <w:r>
              <w:rPr>
                <w:rFonts w:hint="eastAsia" w:ascii="Times New Roman" w:hAnsi="Times New Roman" w:cs="宋体"/>
                <w:snapToGrid w:val="0"/>
                <w:color w:val="auto"/>
                <w:kern w:val="21"/>
                <w:szCs w:val="21"/>
              </w:rPr>
              <w:t>/a</w:t>
            </w:r>
          </w:p>
        </w:tc>
        <w:tc>
          <w:tcPr>
            <w:tcW w:w="1761" w:type="dxa"/>
            <w:tcBorders>
              <w:top w:val="single" w:color="auto" w:sz="4" w:space="0"/>
              <w:left w:val="single" w:color="auto" w:sz="4" w:space="0"/>
              <w:bottom w:val="single" w:color="auto" w:sz="4" w:space="0"/>
              <w:right w:val="single" w:color="auto" w:sz="4" w:space="0"/>
            </w:tcBorders>
            <w:vAlign w:val="center"/>
          </w:tcPr>
          <w:p w14:paraId="5545776B">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499" w:type="dxa"/>
            <w:tcBorders>
              <w:top w:val="single" w:color="auto" w:sz="4" w:space="0"/>
              <w:left w:val="single" w:color="auto" w:sz="4" w:space="0"/>
              <w:bottom w:val="single" w:color="auto" w:sz="4" w:space="0"/>
              <w:right w:val="single" w:color="auto" w:sz="4" w:space="0"/>
            </w:tcBorders>
            <w:vAlign w:val="center"/>
          </w:tcPr>
          <w:p w14:paraId="3E60D237">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86" w:type="dxa"/>
            <w:tcBorders>
              <w:top w:val="single" w:color="auto" w:sz="4" w:space="0"/>
              <w:left w:val="single" w:color="auto" w:sz="4" w:space="0"/>
              <w:bottom w:val="single" w:color="auto" w:sz="4" w:space="0"/>
              <w:right w:val="single" w:color="auto" w:sz="8" w:space="0"/>
            </w:tcBorders>
            <w:vAlign w:val="center"/>
          </w:tcPr>
          <w:p w14:paraId="06CE53C3">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r>
      <w:tr w14:paraId="288999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right w:val="single" w:color="auto" w:sz="4" w:space="0"/>
            </w:tcBorders>
            <w:vAlign w:val="center"/>
          </w:tcPr>
          <w:p w14:paraId="1362F162">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一般工业</w:t>
            </w:r>
          </w:p>
          <w:p w14:paraId="645D4DCA">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固体废物</w:t>
            </w:r>
          </w:p>
        </w:tc>
        <w:tc>
          <w:tcPr>
            <w:tcW w:w="1417" w:type="dxa"/>
            <w:tcBorders>
              <w:top w:val="single" w:color="auto" w:sz="4" w:space="0"/>
              <w:left w:val="single" w:color="auto" w:sz="4" w:space="0"/>
              <w:bottom w:val="single" w:color="auto" w:sz="4" w:space="0"/>
              <w:right w:val="single" w:color="auto" w:sz="4" w:space="0"/>
            </w:tcBorders>
            <w:vAlign w:val="center"/>
          </w:tcPr>
          <w:p w14:paraId="0DE85623">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一次性输液瓶（袋）</w:t>
            </w:r>
          </w:p>
        </w:tc>
        <w:tc>
          <w:tcPr>
            <w:tcW w:w="1701" w:type="dxa"/>
            <w:tcBorders>
              <w:top w:val="single" w:color="auto" w:sz="4" w:space="0"/>
              <w:left w:val="single" w:color="auto" w:sz="4" w:space="0"/>
              <w:bottom w:val="single" w:color="auto" w:sz="4" w:space="0"/>
              <w:right w:val="single" w:color="auto" w:sz="4" w:space="0"/>
            </w:tcBorders>
            <w:vAlign w:val="center"/>
          </w:tcPr>
          <w:p w14:paraId="3E0C85CB">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0295FFED">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14:paraId="432632CD">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1F9EB11F">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3.56t/a</w:t>
            </w:r>
          </w:p>
        </w:tc>
        <w:tc>
          <w:tcPr>
            <w:tcW w:w="1761" w:type="dxa"/>
            <w:tcBorders>
              <w:top w:val="single" w:color="auto" w:sz="4" w:space="0"/>
              <w:left w:val="single" w:color="auto" w:sz="4" w:space="0"/>
              <w:bottom w:val="single" w:color="auto" w:sz="4" w:space="0"/>
              <w:right w:val="single" w:color="auto" w:sz="4" w:space="0"/>
            </w:tcBorders>
            <w:vAlign w:val="center"/>
          </w:tcPr>
          <w:p w14:paraId="1CFD6520">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499" w:type="dxa"/>
            <w:tcBorders>
              <w:top w:val="single" w:color="auto" w:sz="4" w:space="0"/>
              <w:left w:val="single" w:color="auto" w:sz="4" w:space="0"/>
              <w:bottom w:val="single" w:color="auto" w:sz="4" w:space="0"/>
              <w:right w:val="single" w:color="auto" w:sz="4" w:space="0"/>
            </w:tcBorders>
            <w:vAlign w:val="center"/>
          </w:tcPr>
          <w:p w14:paraId="1141B6A2">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86" w:type="dxa"/>
            <w:tcBorders>
              <w:top w:val="single" w:color="auto" w:sz="4" w:space="0"/>
              <w:left w:val="single" w:color="auto" w:sz="4" w:space="0"/>
              <w:bottom w:val="single" w:color="auto" w:sz="4" w:space="0"/>
              <w:right w:val="single" w:color="auto" w:sz="8" w:space="0"/>
            </w:tcBorders>
            <w:vAlign w:val="center"/>
          </w:tcPr>
          <w:p w14:paraId="1D434E59">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r>
      <w:tr w14:paraId="77E60C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left w:val="single" w:color="auto" w:sz="8" w:space="0"/>
              <w:bottom w:val="single" w:color="auto" w:sz="4" w:space="0"/>
              <w:right w:val="single" w:color="auto" w:sz="4" w:space="0"/>
            </w:tcBorders>
            <w:vAlign w:val="center"/>
          </w:tcPr>
          <w:p w14:paraId="05127FEE">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417" w:type="dxa"/>
            <w:tcBorders>
              <w:top w:val="single" w:color="auto" w:sz="4" w:space="0"/>
              <w:left w:val="single" w:color="auto" w:sz="4" w:space="0"/>
              <w:bottom w:val="single" w:color="auto" w:sz="4" w:space="0"/>
              <w:right w:val="single" w:color="auto" w:sz="4" w:space="0"/>
            </w:tcBorders>
            <w:vAlign w:val="center"/>
          </w:tcPr>
          <w:p w14:paraId="6FF23B70">
            <w:pPr>
              <w:pStyle w:val="23"/>
              <w:keepNext w:val="0"/>
              <w:keepLines w:val="0"/>
              <w:suppressLineNumbers w:val="0"/>
              <w:spacing w:before="31" w:beforeAutospacing="0" w:after="0" w:afterAutospacing="0" w:line="240" w:lineRule="auto"/>
              <w:ind w:left="0" w:right="0"/>
              <w:rPr>
                <w:rFonts w:hint="default" w:ascii="Times New Roman" w:hAnsi="Times New Roman" w:eastAsia="宋体" w:cs="宋体"/>
                <w:snapToGrid w:val="0"/>
                <w:color w:val="auto"/>
                <w:kern w:val="21"/>
                <w:szCs w:val="21"/>
                <w:lang w:val="en-US" w:eastAsia="zh-CN"/>
              </w:rPr>
            </w:pPr>
            <w:r>
              <w:rPr>
                <w:rFonts w:hint="eastAsia" w:ascii="Times New Roman" w:hAnsi="Times New Roman" w:cs="宋体"/>
                <w:snapToGrid w:val="0"/>
                <w:color w:val="auto"/>
                <w:kern w:val="21"/>
                <w:szCs w:val="21"/>
                <w:lang w:val="en-US" w:eastAsia="zh-CN"/>
              </w:rPr>
              <w:t>纯水制备的固废</w:t>
            </w:r>
          </w:p>
        </w:tc>
        <w:tc>
          <w:tcPr>
            <w:tcW w:w="1701" w:type="dxa"/>
            <w:tcBorders>
              <w:top w:val="single" w:color="auto" w:sz="4" w:space="0"/>
              <w:left w:val="single" w:color="auto" w:sz="4" w:space="0"/>
              <w:bottom w:val="single" w:color="auto" w:sz="4" w:space="0"/>
              <w:right w:val="single" w:color="auto" w:sz="4" w:space="0"/>
            </w:tcBorders>
            <w:vAlign w:val="center"/>
          </w:tcPr>
          <w:p w14:paraId="7D0CB942">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64019D13">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14:paraId="4907653E">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0162E8C1">
            <w:pPr>
              <w:pStyle w:val="23"/>
              <w:keepNext w:val="0"/>
              <w:keepLines w:val="0"/>
              <w:suppressLineNumbers w:val="0"/>
              <w:spacing w:before="31" w:beforeAutospacing="0" w:after="0" w:afterAutospacing="0" w:line="240" w:lineRule="auto"/>
              <w:ind w:left="0" w:right="0"/>
              <w:rPr>
                <w:rFonts w:hint="default" w:ascii="Times New Roman" w:hAnsi="Times New Roman" w:eastAsia="宋体" w:cs="宋体"/>
                <w:snapToGrid w:val="0"/>
                <w:color w:val="auto"/>
                <w:kern w:val="21"/>
                <w:szCs w:val="21"/>
                <w:lang w:val="en-US" w:eastAsia="zh-CN"/>
              </w:rPr>
            </w:pPr>
            <w:r>
              <w:rPr>
                <w:rFonts w:hint="eastAsia" w:ascii="Times New Roman" w:hAnsi="Times New Roman" w:cs="宋体"/>
                <w:snapToGrid w:val="0"/>
                <w:color w:val="auto"/>
                <w:kern w:val="21"/>
                <w:szCs w:val="21"/>
                <w:lang w:val="en-US" w:eastAsia="zh-CN"/>
              </w:rPr>
              <w:t>0.18t/a</w:t>
            </w:r>
          </w:p>
        </w:tc>
        <w:tc>
          <w:tcPr>
            <w:tcW w:w="1761" w:type="dxa"/>
            <w:tcBorders>
              <w:top w:val="single" w:color="auto" w:sz="4" w:space="0"/>
              <w:left w:val="single" w:color="auto" w:sz="4" w:space="0"/>
              <w:bottom w:val="single" w:color="auto" w:sz="4" w:space="0"/>
              <w:right w:val="single" w:color="auto" w:sz="4" w:space="0"/>
            </w:tcBorders>
            <w:vAlign w:val="center"/>
          </w:tcPr>
          <w:p w14:paraId="67C9A5FB">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499" w:type="dxa"/>
            <w:tcBorders>
              <w:top w:val="single" w:color="auto" w:sz="4" w:space="0"/>
              <w:left w:val="single" w:color="auto" w:sz="4" w:space="0"/>
              <w:bottom w:val="single" w:color="auto" w:sz="4" w:space="0"/>
              <w:right w:val="single" w:color="auto" w:sz="4" w:space="0"/>
            </w:tcBorders>
            <w:vAlign w:val="center"/>
          </w:tcPr>
          <w:p w14:paraId="5B00E9E4">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86" w:type="dxa"/>
            <w:tcBorders>
              <w:top w:val="single" w:color="auto" w:sz="4" w:space="0"/>
              <w:left w:val="single" w:color="auto" w:sz="4" w:space="0"/>
              <w:bottom w:val="single" w:color="auto" w:sz="4" w:space="0"/>
              <w:right w:val="single" w:color="auto" w:sz="8" w:space="0"/>
            </w:tcBorders>
            <w:vAlign w:val="center"/>
          </w:tcPr>
          <w:p w14:paraId="70F40DD8">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r>
      <w:tr w14:paraId="7AC72A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tcBorders>
              <w:top w:val="single" w:color="auto" w:sz="4" w:space="0"/>
              <w:left w:val="single" w:color="auto" w:sz="8" w:space="0"/>
              <w:bottom w:val="single" w:color="auto" w:sz="8" w:space="0"/>
              <w:right w:val="single" w:color="auto" w:sz="4" w:space="0"/>
            </w:tcBorders>
            <w:vAlign w:val="center"/>
          </w:tcPr>
          <w:p w14:paraId="41CC69E8">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危险废物</w:t>
            </w:r>
          </w:p>
        </w:tc>
        <w:tc>
          <w:tcPr>
            <w:tcW w:w="1417" w:type="dxa"/>
            <w:tcBorders>
              <w:top w:val="single" w:color="auto" w:sz="4" w:space="0"/>
              <w:left w:val="single" w:color="auto" w:sz="4" w:space="0"/>
              <w:bottom w:val="single" w:color="auto" w:sz="4" w:space="0"/>
              <w:right w:val="single" w:color="auto" w:sz="4" w:space="0"/>
            </w:tcBorders>
            <w:vAlign w:val="center"/>
          </w:tcPr>
          <w:p w14:paraId="5B26A21C">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default" w:ascii="Times New Roman" w:hAnsi="Times New Roman" w:cs="宋体"/>
                <w:snapToGrid w:val="0"/>
                <w:color w:val="auto"/>
                <w:kern w:val="21"/>
                <w:szCs w:val="21"/>
              </w:rPr>
              <w:t>医疗废物</w:t>
            </w:r>
          </w:p>
        </w:tc>
        <w:tc>
          <w:tcPr>
            <w:tcW w:w="1701" w:type="dxa"/>
            <w:tcBorders>
              <w:top w:val="single" w:color="auto" w:sz="4" w:space="0"/>
              <w:left w:val="single" w:color="auto" w:sz="4" w:space="0"/>
              <w:bottom w:val="single" w:color="auto" w:sz="4" w:space="0"/>
              <w:right w:val="single" w:color="auto" w:sz="4" w:space="0"/>
            </w:tcBorders>
            <w:vAlign w:val="center"/>
          </w:tcPr>
          <w:p w14:paraId="51DABC76">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14:paraId="1D644E2E">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14:paraId="2D43CB74">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559" w:type="dxa"/>
            <w:tcBorders>
              <w:top w:val="single" w:color="auto" w:sz="4" w:space="0"/>
              <w:left w:val="single" w:color="auto" w:sz="4" w:space="0"/>
              <w:bottom w:val="single" w:color="auto" w:sz="4" w:space="0"/>
              <w:right w:val="single" w:color="auto" w:sz="4" w:space="0"/>
            </w:tcBorders>
            <w:vAlign w:val="center"/>
          </w:tcPr>
          <w:p w14:paraId="4C55DA9B">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8.76t/a</w:t>
            </w:r>
          </w:p>
        </w:tc>
        <w:tc>
          <w:tcPr>
            <w:tcW w:w="1761" w:type="dxa"/>
            <w:tcBorders>
              <w:top w:val="single" w:color="auto" w:sz="4" w:space="0"/>
              <w:left w:val="single" w:color="auto" w:sz="4" w:space="0"/>
              <w:bottom w:val="single" w:color="auto" w:sz="4" w:space="0"/>
              <w:right w:val="single" w:color="auto" w:sz="4" w:space="0"/>
            </w:tcBorders>
            <w:vAlign w:val="center"/>
          </w:tcPr>
          <w:p w14:paraId="0D868571">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499" w:type="dxa"/>
            <w:tcBorders>
              <w:top w:val="single" w:color="auto" w:sz="4" w:space="0"/>
              <w:left w:val="single" w:color="auto" w:sz="4" w:space="0"/>
              <w:bottom w:val="single" w:color="auto" w:sz="4" w:space="0"/>
              <w:right w:val="single" w:color="auto" w:sz="4" w:space="0"/>
            </w:tcBorders>
            <w:vAlign w:val="center"/>
          </w:tcPr>
          <w:p w14:paraId="4429E3AD">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86" w:type="dxa"/>
            <w:tcBorders>
              <w:top w:val="single" w:color="auto" w:sz="4" w:space="0"/>
              <w:left w:val="single" w:color="auto" w:sz="4" w:space="0"/>
              <w:bottom w:val="single" w:color="auto" w:sz="4" w:space="0"/>
              <w:right w:val="single" w:color="auto" w:sz="8" w:space="0"/>
            </w:tcBorders>
            <w:vAlign w:val="center"/>
          </w:tcPr>
          <w:p w14:paraId="33008AF1">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r>
      <w:tr w14:paraId="5388E2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tcBorders>
              <w:top w:val="single" w:color="auto" w:sz="4" w:space="0"/>
              <w:left w:val="single" w:color="auto" w:sz="8" w:space="0"/>
              <w:bottom w:val="single" w:color="auto" w:sz="8" w:space="0"/>
              <w:right w:val="single" w:color="auto" w:sz="4" w:space="0"/>
            </w:tcBorders>
            <w:vAlign w:val="center"/>
          </w:tcPr>
          <w:p w14:paraId="0BA7E474">
            <w:pPr>
              <w:keepNext w:val="0"/>
              <w:keepLines w:val="0"/>
              <w:widowControl/>
              <w:suppressLineNumbers w:val="0"/>
              <w:spacing w:before="0" w:beforeAutospacing="0" w:after="0" w:afterAutospacing="0"/>
              <w:ind w:left="0" w:right="0"/>
              <w:jc w:val="left"/>
              <w:rPr>
                <w:rFonts w:hint="default" w:cs="宋体"/>
                <w:snapToGrid w:val="0"/>
                <w:color w:val="auto"/>
                <w:kern w:val="21"/>
                <w:szCs w:val="21"/>
              </w:rPr>
            </w:pPr>
          </w:p>
        </w:tc>
        <w:tc>
          <w:tcPr>
            <w:tcW w:w="1417" w:type="dxa"/>
            <w:tcBorders>
              <w:top w:val="single" w:color="auto" w:sz="4" w:space="0"/>
              <w:left w:val="single" w:color="auto" w:sz="4" w:space="0"/>
              <w:bottom w:val="single" w:color="auto" w:sz="8" w:space="0"/>
              <w:right w:val="single" w:color="auto" w:sz="4" w:space="0"/>
            </w:tcBorders>
            <w:vAlign w:val="center"/>
          </w:tcPr>
          <w:p w14:paraId="4108ED33">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default" w:ascii="Times New Roman" w:hAnsi="Times New Roman" w:cs="宋体"/>
                <w:snapToGrid w:val="0"/>
                <w:color w:val="auto"/>
                <w:kern w:val="21"/>
                <w:szCs w:val="21"/>
              </w:rPr>
              <w:t>污泥</w:t>
            </w:r>
          </w:p>
        </w:tc>
        <w:tc>
          <w:tcPr>
            <w:tcW w:w="1701" w:type="dxa"/>
            <w:tcBorders>
              <w:top w:val="single" w:color="auto" w:sz="4" w:space="0"/>
              <w:left w:val="single" w:color="auto" w:sz="4" w:space="0"/>
              <w:bottom w:val="single" w:color="auto" w:sz="8" w:space="0"/>
              <w:right w:val="single" w:color="auto" w:sz="4" w:space="0"/>
            </w:tcBorders>
            <w:vAlign w:val="center"/>
          </w:tcPr>
          <w:p w14:paraId="76495E25">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76" w:type="dxa"/>
            <w:tcBorders>
              <w:top w:val="single" w:color="auto" w:sz="4" w:space="0"/>
              <w:left w:val="single" w:color="auto" w:sz="4" w:space="0"/>
              <w:bottom w:val="single" w:color="auto" w:sz="8" w:space="0"/>
              <w:right w:val="single" w:color="auto" w:sz="4" w:space="0"/>
            </w:tcBorders>
            <w:vAlign w:val="center"/>
          </w:tcPr>
          <w:p w14:paraId="728A994A">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701" w:type="dxa"/>
            <w:tcBorders>
              <w:top w:val="single" w:color="auto" w:sz="4" w:space="0"/>
              <w:left w:val="single" w:color="auto" w:sz="4" w:space="0"/>
              <w:bottom w:val="single" w:color="auto" w:sz="8" w:space="0"/>
              <w:right w:val="single" w:color="auto" w:sz="4" w:space="0"/>
            </w:tcBorders>
            <w:vAlign w:val="center"/>
          </w:tcPr>
          <w:p w14:paraId="32254EA3">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559" w:type="dxa"/>
            <w:tcBorders>
              <w:top w:val="single" w:color="auto" w:sz="4" w:space="0"/>
              <w:left w:val="single" w:color="auto" w:sz="4" w:space="0"/>
              <w:bottom w:val="single" w:color="auto" w:sz="8" w:space="0"/>
              <w:right w:val="single" w:color="auto" w:sz="4" w:space="0"/>
            </w:tcBorders>
            <w:vAlign w:val="center"/>
          </w:tcPr>
          <w:p w14:paraId="1C1ABE63">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r>
              <w:rPr>
                <w:rFonts w:hint="eastAsia" w:ascii="Times New Roman" w:hAnsi="Times New Roman" w:cs="宋体"/>
                <w:snapToGrid w:val="0"/>
                <w:color w:val="auto"/>
                <w:kern w:val="21"/>
                <w:szCs w:val="21"/>
              </w:rPr>
              <w:t>2.04t/a</w:t>
            </w:r>
          </w:p>
        </w:tc>
        <w:tc>
          <w:tcPr>
            <w:tcW w:w="1761" w:type="dxa"/>
            <w:tcBorders>
              <w:top w:val="single" w:color="auto" w:sz="4" w:space="0"/>
              <w:left w:val="single" w:color="auto" w:sz="4" w:space="0"/>
              <w:bottom w:val="single" w:color="auto" w:sz="8" w:space="0"/>
              <w:right w:val="single" w:color="auto" w:sz="4" w:space="0"/>
            </w:tcBorders>
            <w:vAlign w:val="center"/>
          </w:tcPr>
          <w:p w14:paraId="742B91E9">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499" w:type="dxa"/>
            <w:tcBorders>
              <w:top w:val="single" w:color="auto" w:sz="4" w:space="0"/>
              <w:left w:val="single" w:color="auto" w:sz="4" w:space="0"/>
              <w:bottom w:val="single" w:color="auto" w:sz="8" w:space="0"/>
              <w:right w:val="single" w:color="auto" w:sz="4" w:space="0"/>
            </w:tcBorders>
            <w:vAlign w:val="center"/>
          </w:tcPr>
          <w:p w14:paraId="7B8A9A2C">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c>
          <w:tcPr>
            <w:tcW w:w="1286" w:type="dxa"/>
            <w:tcBorders>
              <w:top w:val="single" w:color="auto" w:sz="4" w:space="0"/>
              <w:left w:val="single" w:color="auto" w:sz="4" w:space="0"/>
              <w:bottom w:val="single" w:color="auto" w:sz="8" w:space="0"/>
              <w:right w:val="single" w:color="auto" w:sz="8" w:space="0"/>
            </w:tcBorders>
            <w:vAlign w:val="center"/>
          </w:tcPr>
          <w:p w14:paraId="50508075">
            <w:pPr>
              <w:pStyle w:val="23"/>
              <w:keepNext w:val="0"/>
              <w:keepLines w:val="0"/>
              <w:suppressLineNumbers w:val="0"/>
              <w:spacing w:before="31" w:beforeAutospacing="0" w:after="0" w:afterAutospacing="0" w:line="240" w:lineRule="auto"/>
              <w:ind w:left="0" w:right="0"/>
              <w:rPr>
                <w:rFonts w:hint="default" w:ascii="Times New Roman" w:hAnsi="Times New Roman" w:cs="宋体"/>
                <w:snapToGrid w:val="0"/>
                <w:color w:val="auto"/>
                <w:kern w:val="21"/>
                <w:szCs w:val="21"/>
              </w:rPr>
            </w:pPr>
          </w:p>
        </w:tc>
      </w:tr>
    </w:tbl>
    <w:p w14:paraId="677E293F">
      <w:pPr>
        <w:pStyle w:val="23"/>
        <w:spacing w:before="249" w:beforeLines="80" w:after="24"/>
        <w:ind w:firstLine="420" w:firstLineChars="200"/>
        <w:jc w:val="left"/>
        <w:rPr>
          <w:rFonts w:ascii="Times New Roman" w:hAnsi="Times New Roman"/>
          <w:color w:val="auto"/>
        </w:rPr>
      </w:pPr>
      <w:r>
        <w:rPr>
          <w:rFonts w:hint="eastAsia" w:ascii="Times New Roman" w:hAnsi="Times New Roman"/>
          <w:snapToGrid w:val="0"/>
          <w:color w:val="auto"/>
          <w:kern w:val="21"/>
          <w:szCs w:val="21"/>
        </w:rPr>
        <w:t>注：</w:t>
      </w:r>
      <w:r>
        <w:rPr>
          <w:rFonts w:hint="eastAsia" w:ascii="Times New Roman" w:hAnsi="Times New Roman"/>
          <w:snapToGrid w:val="0"/>
          <w:color w:val="auto"/>
          <w:spacing w:val="-16"/>
          <w:kern w:val="21"/>
          <w:szCs w:val="21"/>
        </w:rPr>
        <w:fldChar w:fldCharType="begin"/>
      </w:r>
      <w:r>
        <w:rPr>
          <w:rFonts w:hint="eastAsia" w:ascii="Times New Roman" w:hAnsi="Times New Roman"/>
          <w:snapToGrid w:val="0"/>
          <w:color w:val="auto"/>
          <w:spacing w:val="-16"/>
          <w:kern w:val="21"/>
          <w:szCs w:val="21"/>
        </w:rPr>
        <w:instrText xml:space="preserve"> = 6 \* GB3 \* MERGEFORMAT </w:instrText>
      </w:r>
      <w:r>
        <w:rPr>
          <w:rFonts w:hint="eastAsia" w:ascii="Times New Roman" w:hAnsi="Times New Roman"/>
          <w:snapToGrid w:val="0"/>
          <w:color w:val="auto"/>
          <w:spacing w:val="-16"/>
          <w:kern w:val="21"/>
          <w:szCs w:val="21"/>
        </w:rPr>
        <w:fldChar w:fldCharType="separate"/>
      </w:r>
      <w:r>
        <w:rPr>
          <w:rFonts w:hint="eastAsia" w:ascii="Times New Roman" w:hAnsi="Times New Roman"/>
          <w:color w:val="auto"/>
          <w:szCs w:val="21"/>
        </w:rPr>
        <w:t>⑥</w:t>
      </w:r>
      <w:r>
        <w:rPr>
          <w:rFonts w:hint="eastAsia" w:ascii="Times New Roman" w:hAnsi="Times New Roman"/>
          <w:snapToGrid w:val="0"/>
          <w:color w:val="auto"/>
          <w:spacing w:val="-16"/>
          <w:kern w:val="21"/>
          <w:szCs w:val="21"/>
        </w:rPr>
        <w:fldChar w:fldCharType="end"/>
      </w:r>
      <w:r>
        <w:rPr>
          <w:rFonts w:hint="eastAsia" w:ascii="Times New Roman" w:hAnsi="Times New Roman"/>
          <w:snapToGrid w:val="0"/>
          <w:color w:val="auto"/>
          <w:spacing w:val="-16"/>
          <w:kern w:val="21"/>
          <w:szCs w:val="21"/>
        </w:rPr>
        <w:t>=</w:t>
      </w:r>
      <w:r>
        <w:rPr>
          <w:rFonts w:hint="eastAsia" w:ascii="Times New Roman" w:hAnsi="Times New Roman"/>
          <w:snapToGrid w:val="0"/>
          <w:color w:val="auto"/>
          <w:spacing w:val="-6"/>
          <w:kern w:val="21"/>
          <w:szCs w:val="21"/>
        </w:rPr>
        <w:fldChar w:fldCharType="begin"/>
      </w:r>
      <w:r>
        <w:rPr>
          <w:rFonts w:hint="eastAsia" w:ascii="Times New Roman" w:hAnsi="Times New Roman"/>
          <w:snapToGrid w:val="0"/>
          <w:color w:val="auto"/>
          <w:spacing w:val="-6"/>
          <w:kern w:val="21"/>
          <w:szCs w:val="21"/>
        </w:rPr>
        <w:instrText xml:space="preserve"> = 1 \* GB3 \* MERGEFORMAT </w:instrText>
      </w:r>
      <w:r>
        <w:rPr>
          <w:rFonts w:hint="eastAsia" w:ascii="Times New Roman" w:hAnsi="Times New Roman"/>
          <w:snapToGrid w:val="0"/>
          <w:color w:val="auto"/>
          <w:spacing w:val="-6"/>
          <w:kern w:val="21"/>
          <w:szCs w:val="21"/>
        </w:rPr>
        <w:fldChar w:fldCharType="separate"/>
      </w:r>
      <w:r>
        <w:rPr>
          <w:rFonts w:hint="eastAsia" w:ascii="Times New Roman" w:hAnsi="Times New Roman"/>
          <w:color w:val="auto"/>
          <w:szCs w:val="21"/>
        </w:rPr>
        <w:t>①</w:t>
      </w:r>
      <w:r>
        <w:rPr>
          <w:rFonts w:hint="eastAsia" w:ascii="Times New Roman" w:hAnsi="Times New Roman"/>
          <w:snapToGrid w:val="0"/>
          <w:color w:val="auto"/>
          <w:spacing w:val="-6"/>
          <w:kern w:val="21"/>
          <w:szCs w:val="21"/>
        </w:rPr>
        <w:fldChar w:fldCharType="end"/>
      </w:r>
      <w:r>
        <w:rPr>
          <w:rFonts w:hint="eastAsia" w:ascii="Times New Roman" w:hAnsi="Times New Roman"/>
          <w:snapToGrid w:val="0"/>
          <w:color w:val="auto"/>
          <w:spacing w:val="-6"/>
          <w:kern w:val="21"/>
          <w:szCs w:val="21"/>
        </w:rPr>
        <w:t>+</w:t>
      </w:r>
      <w:r>
        <w:rPr>
          <w:rFonts w:hint="eastAsia" w:ascii="Times New Roman" w:hAnsi="Times New Roman"/>
          <w:snapToGrid w:val="0"/>
          <w:color w:val="auto"/>
          <w:spacing w:val="-6"/>
          <w:kern w:val="21"/>
          <w:szCs w:val="21"/>
        </w:rPr>
        <w:fldChar w:fldCharType="begin"/>
      </w:r>
      <w:r>
        <w:rPr>
          <w:rFonts w:hint="eastAsia" w:ascii="Times New Roman" w:hAnsi="Times New Roman"/>
          <w:snapToGrid w:val="0"/>
          <w:color w:val="auto"/>
          <w:spacing w:val="-6"/>
          <w:kern w:val="21"/>
          <w:szCs w:val="21"/>
        </w:rPr>
        <w:instrText xml:space="preserve"> = 3 \* GB3 \* MERGEFORMAT </w:instrText>
      </w:r>
      <w:r>
        <w:rPr>
          <w:rFonts w:hint="eastAsia" w:ascii="Times New Roman" w:hAnsi="Times New Roman"/>
          <w:snapToGrid w:val="0"/>
          <w:color w:val="auto"/>
          <w:spacing w:val="-6"/>
          <w:kern w:val="21"/>
          <w:szCs w:val="21"/>
        </w:rPr>
        <w:fldChar w:fldCharType="separate"/>
      </w:r>
      <w:r>
        <w:rPr>
          <w:rFonts w:hint="eastAsia" w:ascii="Times New Roman" w:hAnsi="Times New Roman"/>
          <w:color w:val="auto"/>
          <w:szCs w:val="21"/>
        </w:rPr>
        <w:t>③</w:t>
      </w:r>
      <w:r>
        <w:rPr>
          <w:rFonts w:hint="eastAsia" w:ascii="Times New Roman" w:hAnsi="Times New Roman"/>
          <w:snapToGrid w:val="0"/>
          <w:color w:val="auto"/>
          <w:spacing w:val="-6"/>
          <w:kern w:val="21"/>
          <w:szCs w:val="21"/>
        </w:rPr>
        <w:fldChar w:fldCharType="end"/>
      </w:r>
      <w:r>
        <w:rPr>
          <w:rFonts w:hint="eastAsia" w:ascii="Times New Roman" w:hAnsi="Times New Roman"/>
          <w:snapToGrid w:val="0"/>
          <w:color w:val="auto"/>
          <w:spacing w:val="-6"/>
          <w:kern w:val="21"/>
          <w:szCs w:val="21"/>
        </w:rPr>
        <w:t>+</w:t>
      </w:r>
      <w:r>
        <w:rPr>
          <w:rFonts w:hint="eastAsia" w:ascii="Times New Roman" w:hAnsi="Times New Roman"/>
          <w:snapToGrid w:val="0"/>
          <w:color w:val="auto"/>
          <w:spacing w:val="-6"/>
          <w:kern w:val="21"/>
          <w:szCs w:val="21"/>
        </w:rPr>
        <w:fldChar w:fldCharType="begin"/>
      </w:r>
      <w:r>
        <w:rPr>
          <w:rFonts w:hint="eastAsia" w:ascii="Times New Roman" w:hAnsi="Times New Roman"/>
          <w:snapToGrid w:val="0"/>
          <w:color w:val="auto"/>
          <w:spacing w:val="-6"/>
          <w:kern w:val="21"/>
          <w:szCs w:val="21"/>
        </w:rPr>
        <w:instrText xml:space="preserve"> = 4 \* GB3 \* MERGEFORMAT </w:instrText>
      </w:r>
      <w:r>
        <w:rPr>
          <w:rFonts w:hint="eastAsia" w:ascii="Times New Roman" w:hAnsi="Times New Roman"/>
          <w:snapToGrid w:val="0"/>
          <w:color w:val="auto"/>
          <w:spacing w:val="-6"/>
          <w:kern w:val="21"/>
          <w:szCs w:val="21"/>
        </w:rPr>
        <w:fldChar w:fldCharType="separate"/>
      </w:r>
      <w:r>
        <w:rPr>
          <w:rFonts w:hint="eastAsia" w:ascii="Times New Roman" w:hAnsi="Times New Roman"/>
          <w:color w:val="auto"/>
          <w:szCs w:val="21"/>
        </w:rPr>
        <w:t>④</w:t>
      </w:r>
      <w:r>
        <w:rPr>
          <w:rFonts w:hint="eastAsia" w:ascii="Times New Roman" w:hAnsi="Times New Roman"/>
          <w:snapToGrid w:val="0"/>
          <w:color w:val="auto"/>
          <w:spacing w:val="-6"/>
          <w:kern w:val="21"/>
          <w:szCs w:val="21"/>
        </w:rPr>
        <w:fldChar w:fldCharType="end"/>
      </w:r>
      <w:r>
        <w:rPr>
          <w:rFonts w:hint="eastAsia" w:ascii="Times New Roman" w:hAnsi="Times New Roman"/>
          <w:snapToGrid w:val="0"/>
          <w:color w:val="auto"/>
          <w:spacing w:val="-6"/>
          <w:kern w:val="21"/>
          <w:szCs w:val="21"/>
        </w:rPr>
        <w:t>-</w:t>
      </w:r>
      <w:r>
        <w:rPr>
          <w:rFonts w:hint="eastAsia" w:ascii="Times New Roman" w:hAnsi="Times New Roman"/>
          <w:snapToGrid w:val="0"/>
          <w:color w:val="auto"/>
          <w:spacing w:val="-16"/>
          <w:kern w:val="21"/>
          <w:szCs w:val="21"/>
        </w:rPr>
        <w:fldChar w:fldCharType="begin"/>
      </w:r>
      <w:r>
        <w:rPr>
          <w:rFonts w:hint="eastAsia" w:ascii="Times New Roman" w:hAnsi="Times New Roman"/>
          <w:snapToGrid w:val="0"/>
          <w:color w:val="auto"/>
          <w:spacing w:val="-16"/>
          <w:kern w:val="21"/>
          <w:szCs w:val="21"/>
        </w:rPr>
        <w:instrText xml:space="preserve"> = 5 \* GB3 \* MERGEFORMAT </w:instrText>
      </w:r>
      <w:r>
        <w:rPr>
          <w:rFonts w:hint="eastAsia" w:ascii="Times New Roman" w:hAnsi="Times New Roman"/>
          <w:snapToGrid w:val="0"/>
          <w:color w:val="auto"/>
          <w:spacing w:val="-16"/>
          <w:kern w:val="21"/>
          <w:szCs w:val="21"/>
        </w:rPr>
        <w:fldChar w:fldCharType="separate"/>
      </w:r>
      <w:r>
        <w:rPr>
          <w:rFonts w:hint="eastAsia" w:ascii="Times New Roman" w:hAnsi="Times New Roman"/>
          <w:color w:val="auto"/>
          <w:szCs w:val="21"/>
        </w:rPr>
        <w:t>⑤</w:t>
      </w:r>
      <w:r>
        <w:rPr>
          <w:rFonts w:hint="eastAsia" w:ascii="Times New Roman" w:hAnsi="Times New Roman"/>
          <w:snapToGrid w:val="0"/>
          <w:color w:val="auto"/>
          <w:spacing w:val="-16"/>
          <w:kern w:val="21"/>
          <w:szCs w:val="21"/>
        </w:rPr>
        <w:fldChar w:fldCharType="end"/>
      </w:r>
      <w:r>
        <w:rPr>
          <w:rFonts w:hint="eastAsia" w:ascii="Times New Roman" w:hAnsi="Times New Roman"/>
          <w:snapToGrid w:val="0"/>
          <w:color w:val="auto"/>
          <w:spacing w:val="-16"/>
          <w:kern w:val="21"/>
          <w:szCs w:val="21"/>
        </w:rPr>
        <w:t>；</w:t>
      </w:r>
      <w:r>
        <w:rPr>
          <w:rFonts w:hint="eastAsia" w:ascii="Times New Roman" w:hAnsi="Times New Roman"/>
          <w:snapToGrid w:val="0"/>
          <w:color w:val="auto"/>
          <w:spacing w:val="-6"/>
          <w:kern w:val="21"/>
          <w:szCs w:val="21"/>
        </w:rPr>
        <w:fldChar w:fldCharType="begin"/>
      </w:r>
      <w:r>
        <w:rPr>
          <w:rFonts w:hint="eastAsia" w:ascii="Times New Roman" w:hAnsi="Times New Roman"/>
          <w:snapToGrid w:val="0"/>
          <w:color w:val="auto"/>
          <w:spacing w:val="-6"/>
          <w:kern w:val="21"/>
          <w:szCs w:val="21"/>
        </w:rPr>
        <w:instrText xml:space="preserve"> = 7 \* GB3 \* MERGEFORMAT </w:instrText>
      </w:r>
      <w:r>
        <w:rPr>
          <w:rFonts w:hint="eastAsia" w:ascii="Times New Roman" w:hAnsi="Times New Roman"/>
          <w:snapToGrid w:val="0"/>
          <w:color w:val="auto"/>
          <w:spacing w:val="-6"/>
          <w:kern w:val="21"/>
          <w:szCs w:val="21"/>
        </w:rPr>
        <w:fldChar w:fldCharType="separate"/>
      </w:r>
      <w:r>
        <w:rPr>
          <w:rFonts w:hint="eastAsia" w:ascii="Times New Roman" w:hAnsi="Times New Roman"/>
          <w:color w:val="auto"/>
          <w:szCs w:val="21"/>
        </w:rPr>
        <w:t>⑦</w:t>
      </w:r>
      <w:r>
        <w:rPr>
          <w:rFonts w:hint="eastAsia" w:ascii="Times New Roman" w:hAnsi="Times New Roman"/>
          <w:snapToGrid w:val="0"/>
          <w:color w:val="auto"/>
          <w:spacing w:val="-6"/>
          <w:kern w:val="21"/>
          <w:szCs w:val="21"/>
        </w:rPr>
        <w:fldChar w:fldCharType="end"/>
      </w:r>
      <w:r>
        <w:rPr>
          <w:rFonts w:hint="eastAsia" w:ascii="Times New Roman" w:hAnsi="Times New Roman"/>
          <w:snapToGrid w:val="0"/>
          <w:color w:val="auto"/>
          <w:spacing w:val="-6"/>
          <w:kern w:val="21"/>
          <w:szCs w:val="21"/>
        </w:rPr>
        <w:t>=</w:t>
      </w:r>
      <w:r>
        <w:rPr>
          <w:rFonts w:hint="eastAsia" w:ascii="Times New Roman" w:hAnsi="Times New Roman"/>
          <w:snapToGrid w:val="0"/>
          <w:color w:val="auto"/>
          <w:spacing w:val="-16"/>
          <w:kern w:val="21"/>
          <w:szCs w:val="21"/>
        </w:rPr>
        <w:fldChar w:fldCharType="begin"/>
      </w:r>
      <w:r>
        <w:rPr>
          <w:rFonts w:hint="eastAsia" w:ascii="Times New Roman" w:hAnsi="Times New Roman"/>
          <w:snapToGrid w:val="0"/>
          <w:color w:val="auto"/>
          <w:spacing w:val="-16"/>
          <w:kern w:val="21"/>
          <w:szCs w:val="21"/>
        </w:rPr>
        <w:instrText xml:space="preserve"> = 6 \* GB3 \* MERGEFORMAT </w:instrText>
      </w:r>
      <w:r>
        <w:rPr>
          <w:rFonts w:hint="eastAsia" w:ascii="Times New Roman" w:hAnsi="Times New Roman"/>
          <w:snapToGrid w:val="0"/>
          <w:color w:val="auto"/>
          <w:spacing w:val="-16"/>
          <w:kern w:val="21"/>
          <w:szCs w:val="21"/>
        </w:rPr>
        <w:fldChar w:fldCharType="separate"/>
      </w:r>
      <w:r>
        <w:rPr>
          <w:rFonts w:hint="eastAsia" w:ascii="Times New Roman" w:hAnsi="Times New Roman"/>
          <w:color w:val="auto"/>
          <w:szCs w:val="21"/>
        </w:rPr>
        <w:t>⑥</w:t>
      </w:r>
      <w:r>
        <w:rPr>
          <w:rFonts w:hint="eastAsia" w:ascii="Times New Roman" w:hAnsi="Times New Roman"/>
          <w:snapToGrid w:val="0"/>
          <w:color w:val="auto"/>
          <w:spacing w:val="-16"/>
          <w:kern w:val="21"/>
          <w:szCs w:val="21"/>
        </w:rPr>
        <w:fldChar w:fldCharType="end"/>
      </w:r>
      <w:r>
        <w:rPr>
          <w:rFonts w:hint="eastAsia" w:ascii="Times New Roman" w:hAnsi="Times New Roman"/>
          <w:snapToGrid w:val="0"/>
          <w:color w:val="auto"/>
          <w:spacing w:val="-16"/>
          <w:kern w:val="21"/>
          <w:szCs w:val="21"/>
        </w:rPr>
        <w:t>-</w:t>
      </w:r>
      <w:r>
        <w:rPr>
          <w:rFonts w:hint="eastAsia" w:ascii="Times New Roman" w:hAnsi="Times New Roman"/>
          <w:snapToGrid w:val="0"/>
          <w:color w:val="auto"/>
          <w:spacing w:val="-6"/>
          <w:kern w:val="21"/>
          <w:szCs w:val="21"/>
        </w:rPr>
        <w:fldChar w:fldCharType="begin"/>
      </w:r>
      <w:r>
        <w:rPr>
          <w:rFonts w:hint="eastAsia" w:ascii="Times New Roman" w:hAnsi="Times New Roman"/>
          <w:snapToGrid w:val="0"/>
          <w:color w:val="auto"/>
          <w:spacing w:val="-6"/>
          <w:kern w:val="21"/>
          <w:szCs w:val="21"/>
        </w:rPr>
        <w:instrText xml:space="preserve"> = 1 \* GB3 \* MERGEFORMAT </w:instrText>
      </w:r>
      <w:r>
        <w:rPr>
          <w:rFonts w:hint="eastAsia" w:ascii="Times New Roman" w:hAnsi="Times New Roman"/>
          <w:snapToGrid w:val="0"/>
          <w:color w:val="auto"/>
          <w:spacing w:val="-6"/>
          <w:kern w:val="21"/>
          <w:szCs w:val="21"/>
        </w:rPr>
        <w:fldChar w:fldCharType="separate"/>
      </w:r>
      <w:r>
        <w:rPr>
          <w:rFonts w:hint="eastAsia" w:ascii="Times New Roman" w:hAnsi="Times New Roman"/>
          <w:color w:val="auto"/>
          <w:szCs w:val="21"/>
        </w:rPr>
        <w:t>①</w:t>
      </w:r>
      <w:r>
        <w:rPr>
          <w:rFonts w:hint="eastAsia" w:ascii="Times New Roman" w:hAnsi="Times New Roman"/>
          <w:snapToGrid w:val="0"/>
          <w:color w:val="auto"/>
          <w:spacing w:val="-6"/>
          <w:kern w:val="21"/>
          <w:szCs w:val="21"/>
        </w:rPr>
        <w:fldChar w:fldCharType="end"/>
      </w:r>
    </w:p>
    <w:sectPr>
      <w:pgSz w:w="16838" w:h="11906" w:orient="landscape"/>
      <w:pgMar w:top="1800" w:right="1440" w:bottom="1800"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Times New Roman"/>
    <w:panose1 w:val="020F0502020204030204"/>
    <w:charset w:val="00"/>
    <w:family w:val="swiss"/>
    <w:pitch w:val="default"/>
    <w:sig w:usb0="00000000" w:usb1="00000000" w:usb2="00000001" w:usb3="00000000" w:csb0="0000019F" w:csb1="00000000"/>
  </w:font>
  <w:font w:name="Verdana">
    <w:altName w:val="DejaVu Sans"/>
    <w:panose1 w:val="020B0604030504040204"/>
    <w:charset w:val="00"/>
    <w:family w:val="swiss"/>
    <w:pitch w:val="default"/>
    <w:sig w:usb0="00000000" w:usb1="00000000" w:usb2="00000010" w:usb3="00000000" w:csb0="2000019F" w:csb1="00000000"/>
  </w:font>
  <w:font w:name="DejaVu Sans">
    <w:panose1 w:val="020B0603030804020204"/>
    <w:charset w:val="00"/>
    <w:family w:val="auto"/>
    <w:pitch w:val="default"/>
    <w:sig w:usb0="E7006EFF" w:usb1="D200FDFF" w:usb2="0A246029" w:usb3="0400200C" w:csb0="600001FF" w:csb1="DFFF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仿宋">
    <w:altName w:val="仿宋_GB2312"/>
    <w:panose1 w:val="02010609060101010101"/>
    <w:charset w:val="86"/>
    <w:family w:val="modern"/>
    <w:pitch w:val="default"/>
    <w:sig w:usb0="00000000" w:usb1="00000000"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altName w:val="汉仪仿宋简"/>
    <w:panose1 w:val="02010600040101010101"/>
    <w:charset w:val="86"/>
    <w:family w:val="auto"/>
    <w:pitch w:val="default"/>
    <w:sig w:usb0="00000000" w:usb1="00000000" w:usb2="00000000" w:usb3="00000000" w:csb0="0004009F" w:csb1="DFD70000"/>
  </w:font>
  <w:font w:name="汉仪仿宋简">
    <w:panose1 w:val="02010600000101010101"/>
    <w:charset w:val="86"/>
    <w:family w:val="auto"/>
    <w:pitch w:val="default"/>
    <w:sig w:usb0="00000001" w:usb1="080E0800" w:usb2="00000002" w:usb3="00000000" w:csb0="00040000" w:csb1="00000000"/>
  </w:font>
  <w:font w:name="Wingdings 2">
    <w:panose1 w:val="05020102010507070707"/>
    <w:charset w:val="02"/>
    <w:family w:val="roman"/>
    <w:pitch w:val="default"/>
    <w:sig w:usb0="00000000" w:usb1="00000000" w:usb2="00000000" w:usb3="00000000" w:csb0="80000000" w:csb1="00000000"/>
  </w:font>
  <w:font w:name="MS Gothic">
    <w:altName w:val="宋体"/>
    <w:panose1 w:val="020B0609070205080204"/>
    <w:charset w:val="80"/>
    <w:family w:val="modern"/>
    <w:pitch w:val="default"/>
    <w:sig w:usb0="00000000" w:usb1="00000000" w:usb2="08000012" w:usb3="00000000" w:csb0="4002009F" w:csb1="DFD70000"/>
  </w:font>
  <w:font w:name="Helvetica">
    <w:altName w:val="DejaVu Sans"/>
    <w:panose1 w:val="020B0604020202020204"/>
    <w:charset w:val="00"/>
    <w:family w:val="swiss"/>
    <w:pitch w:val="default"/>
    <w:sig w:usb0="00000000" w:usb1="00000000" w:usb2="00000000" w:usb3="00000000" w:csb0="00000001" w:csb1="00000000"/>
  </w:font>
  <w:font w:name="微软雅黑">
    <w:altName w:val="黑体"/>
    <w:panose1 w:val="020B0503020204020204"/>
    <w:charset w:val="86"/>
    <w:family w:val="swiss"/>
    <w:pitch w:val="default"/>
    <w:sig w:usb0="00000000" w:usb1="00000000" w:usb2="00000016" w:usb3="00000000" w:csb0="0004001F" w:csb1="00000000"/>
  </w:font>
  <w:font w:name="GWZT-EN">
    <w:panose1 w:val="020204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BE7FC">
    <w:pPr>
      <w:pStyle w:val="9"/>
    </w:pPr>
    <w:r>
      <mc:AlternateContent>
        <mc:Choice Requires="wps">
          <w:drawing>
            <wp:anchor distT="0" distB="0" distL="114300" distR="114300" simplePos="0" relativeHeight="251681792" behindDoc="0" locked="0" layoutInCell="1" allowOverlap="1">
              <wp:simplePos x="0" y="0"/>
              <wp:positionH relativeFrom="margin">
                <wp:align>right</wp:align>
              </wp:positionH>
              <wp:positionV relativeFrom="paragraph">
                <wp:posOffset>-203835</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A720F1">
                          <w:pPr>
                            <w:pStyle w:val="9"/>
                          </w:pPr>
                          <w:r>
                            <w:fldChar w:fldCharType="begin"/>
                          </w:r>
                          <w:r>
                            <w:instrText xml:space="preserve"> PAGE  \* MERGEFORMAT </w:instrText>
                          </w:r>
                          <w:r>
                            <w:fldChar w:fldCharType="separate"/>
                          </w:r>
                          <w:r>
                            <w:t>- 26 -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6.05pt;height:144pt;width:144pt;mso-position-horizontal:right;mso-position-horizontal-relative:margin;mso-wrap-style:none;z-index:251681792;mso-width-relative:page;mso-height-relative:page;" filled="f" stroked="f" coordsize="21600,21600" o:gfxdata="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pm/T9sLVA3CpkSOS6B4brdDs&#10;m57Z3uRnEHOm6wxv+aZC8i3z4YE5tAIejGEJ91gKaZDE9BYlpXFf/3Ue41EheCmp0VoZ1ZgkSuQH&#10;jcoBMAyGG4z9YOijujPo1TGG0PLWxAUX5GAWzqgvmKBVzAEX0xyZMhoG8y507Y0J5GK1aoPQa5aF&#10;rd5ZHqGjeN6ujgECtrpGUToleq3QbW1l+smI7fznvo16+hssH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86ZGc1gAAAAgBAAAPAAAAAAAAAAEAIAAAACIAAABkcnMvZG93bnJldi54bWxQSwECFAAU&#10;AAAACACHTuJAvQ7dtywCAABVBAAADgAAAAAAAAABACAAAAAlAQAAZHJzL2Uyb0RvYy54bWxQSwUG&#10;AAAAAAYABgBZAQAAwwUAAAAA&#10;">
              <v:fill on="f" focussize="0,0"/>
              <v:stroke on="f" weight="0.5pt"/>
              <v:imagedata o:title=""/>
              <o:lock v:ext="edit" aspectratio="f"/>
              <v:textbox inset="0mm,0mm,0mm,0mm" style="mso-fit-shape-to-text:t;">
                <w:txbxContent>
                  <w:p w14:paraId="74A720F1">
                    <w:pPr>
                      <w:pStyle w:val="9"/>
                    </w:pPr>
                    <w:r>
                      <w:fldChar w:fldCharType="begin"/>
                    </w:r>
                    <w:r>
                      <w:instrText xml:space="preserve"> PAGE  \* MERGEFORMAT </w:instrText>
                    </w:r>
                    <w:r>
                      <w:fldChar w:fldCharType="separate"/>
                    </w:r>
                    <w:r>
                      <w:t>- 26 -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A5C0A7"/>
    <w:multiLevelType w:val="singleLevel"/>
    <w:tmpl w:val="9CA5C0A7"/>
    <w:lvl w:ilvl="0" w:tentative="0">
      <w:start w:val="2"/>
      <w:numFmt w:val="decimal"/>
      <w:suff w:val="nothing"/>
      <w:lvlText w:val="（%1）"/>
      <w:lvlJc w:val="left"/>
    </w:lvl>
  </w:abstractNum>
  <w:abstractNum w:abstractNumId="1">
    <w:nsid w:val="B745AE3B"/>
    <w:multiLevelType w:val="singleLevel"/>
    <w:tmpl w:val="B745AE3B"/>
    <w:lvl w:ilvl="0" w:tentative="0">
      <w:start w:val="4"/>
      <w:numFmt w:val="decimal"/>
      <w:suff w:val="nothing"/>
      <w:lvlText w:val="（%1）"/>
      <w:lvlJc w:val="left"/>
    </w:lvl>
  </w:abstractNum>
  <w:abstractNum w:abstractNumId="2">
    <w:nsid w:val="3638460D"/>
    <w:multiLevelType w:val="multilevel"/>
    <w:tmpl w:val="3638460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zY2E4Mzg5YmZjMzcxNGU1NzY5YmQ2NDA1YTE1MzIifQ=="/>
  </w:docVars>
  <w:rsids>
    <w:rsidRoot w:val="00172A27"/>
    <w:rsid w:val="00001072"/>
    <w:rsid w:val="00001197"/>
    <w:rsid w:val="0000642D"/>
    <w:rsid w:val="00021019"/>
    <w:rsid w:val="00023454"/>
    <w:rsid w:val="00026E41"/>
    <w:rsid w:val="0003070B"/>
    <w:rsid w:val="000313DA"/>
    <w:rsid w:val="00032D83"/>
    <w:rsid w:val="000372C8"/>
    <w:rsid w:val="00042C2E"/>
    <w:rsid w:val="00044365"/>
    <w:rsid w:val="00045889"/>
    <w:rsid w:val="00054161"/>
    <w:rsid w:val="0006771B"/>
    <w:rsid w:val="00070EEC"/>
    <w:rsid w:val="00072793"/>
    <w:rsid w:val="00073470"/>
    <w:rsid w:val="00074AB3"/>
    <w:rsid w:val="00077868"/>
    <w:rsid w:val="00080812"/>
    <w:rsid w:val="00081634"/>
    <w:rsid w:val="00087F09"/>
    <w:rsid w:val="000A1DC0"/>
    <w:rsid w:val="000A6DF7"/>
    <w:rsid w:val="000A7E9F"/>
    <w:rsid w:val="000B170A"/>
    <w:rsid w:val="000B4C21"/>
    <w:rsid w:val="000B5FC8"/>
    <w:rsid w:val="000B64F2"/>
    <w:rsid w:val="000C165B"/>
    <w:rsid w:val="000C660D"/>
    <w:rsid w:val="000C6D41"/>
    <w:rsid w:val="000C6EA1"/>
    <w:rsid w:val="000D2481"/>
    <w:rsid w:val="000D754A"/>
    <w:rsid w:val="000E0943"/>
    <w:rsid w:val="000F35D9"/>
    <w:rsid w:val="000F3769"/>
    <w:rsid w:val="000F3F9D"/>
    <w:rsid w:val="000F7163"/>
    <w:rsid w:val="00100179"/>
    <w:rsid w:val="001003CB"/>
    <w:rsid w:val="0010176D"/>
    <w:rsid w:val="001043B1"/>
    <w:rsid w:val="00110850"/>
    <w:rsid w:val="00112494"/>
    <w:rsid w:val="001132F7"/>
    <w:rsid w:val="00113481"/>
    <w:rsid w:val="0012445A"/>
    <w:rsid w:val="001248DB"/>
    <w:rsid w:val="00124917"/>
    <w:rsid w:val="001263F1"/>
    <w:rsid w:val="001272AC"/>
    <w:rsid w:val="00131DB5"/>
    <w:rsid w:val="00133DDC"/>
    <w:rsid w:val="00136C62"/>
    <w:rsid w:val="00140394"/>
    <w:rsid w:val="00143BA6"/>
    <w:rsid w:val="00146117"/>
    <w:rsid w:val="00153325"/>
    <w:rsid w:val="00154D15"/>
    <w:rsid w:val="001550C1"/>
    <w:rsid w:val="001611E6"/>
    <w:rsid w:val="001675BF"/>
    <w:rsid w:val="00173DB4"/>
    <w:rsid w:val="00175B9C"/>
    <w:rsid w:val="00187BBC"/>
    <w:rsid w:val="00193EF0"/>
    <w:rsid w:val="00197ECB"/>
    <w:rsid w:val="00197F25"/>
    <w:rsid w:val="001A0E14"/>
    <w:rsid w:val="001A0FF5"/>
    <w:rsid w:val="001A36DE"/>
    <w:rsid w:val="001A51AE"/>
    <w:rsid w:val="001B10F0"/>
    <w:rsid w:val="001B2BF1"/>
    <w:rsid w:val="001B78AF"/>
    <w:rsid w:val="001B7F97"/>
    <w:rsid w:val="001C1537"/>
    <w:rsid w:val="001C2C52"/>
    <w:rsid w:val="001D1161"/>
    <w:rsid w:val="001D1414"/>
    <w:rsid w:val="001D3D29"/>
    <w:rsid w:val="001D5831"/>
    <w:rsid w:val="001D5FEE"/>
    <w:rsid w:val="001E0979"/>
    <w:rsid w:val="001E3C63"/>
    <w:rsid w:val="001E509F"/>
    <w:rsid w:val="001F0BC2"/>
    <w:rsid w:val="001F2E25"/>
    <w:rsid w:val="001F4C28"/>
    <w:rsid w:val="002047DA"/>
    <w:rsid w:val="0021476E"/>
    <w:rsid w:val="00214B79"/>
    <w:rsid w:val="0022503E"/>
    <w:rsid w:val="002306E2"/>
    <w:rsid w:val="0023483D"/>
    <w:rsid w:val="00250C7A"/>
    <w:rsid w:val="00251072"/>
    <w:rsid w:val="002557C2"/>
    <w:rsid w:val="0026087F"/>
    <w:rsid w:val="00264A8A"/>
    <w:rsid w:val="00264F4C"/>
    <w:rsid w:val="0027023F"/>
    <w:rsid w:val="00273536"/>
    <w:rsid w:val="0027601E"/>
    <w:rsid w:val="00283322"/>
    <w:rsid w:val="00283BCD"/>
    <w:rsid w:val="00295A69"/>
    <w:rsid w:val="002A33DB"/>
    <w:rsid w:val="002B0248"/>
    <w:rsid w:val="002B486E"/>
    <w:rsid w:val="002B488E"/>
    <w:rsid w:val="002C368C"/>
    <w:rsid w:val="002C4923"/>
    <w:rsid w:val="002F1166"/>
    <w:rsid w:val="002F4199"/>
    <w:rsid w:val="00305045"/>
    <w:rsid w:val="00306334"/>
    <w:rsid w:val="003126C4"/>
    <w:rsid w:val="003132C5"/>
    <w:rsid w:val="00327FF2"/>
    <w:rsid w:val="00332AE2"/>
    <w:rsid w:val="00333DAA"/>
    <w:rsid w:val="00335954"/>
    <w:rsid w:val="00340D6E"/>
    <w:rsid w:val="0034225D"/>
    <w:rsid w:val="00342CFD"/>
    <w:rsid w:val="00342FBA"/>
    <w:rsid w:val="00346078"/>
    <w:rsid w:val="00356383"/>
    <w:rsid w:val="003608A3"/>
    <w:rsid w:val="00363816"/>
    <w:rsid w:val="003818C7"/>
    <w:rsid w:val="00381DAC"/>
    <w:rsid w:val="003878BA"/>
    <w:rsid w:val="00390D6D"/>
    <w:rsid w:val="00394179"/>
    <w:rsid w:val="00396F8A"/>
    <w:rsid w:val="003A2DEA"/>
    <w:rsid w:val="003A44DB"/>
    <w:rsid w:val="003A7D8D"/>
    <w:rsid w:val="003B1AF3"/>
    <w:rsid w:val="003B476E"/>
    <w:rsid w:val="003B78DA"/>
    <w:rsid w:val="003C5B1C"/>
    <w:rsid w:val="003C5DFF"/>
    <w:rsid w:val="003C79BD"/>
    <w:rsid w:val="003E05B2"/>
    <w:rsid w:val="003E2809"/>
    <w:rsid w:val="003E5D75"/>
    <w:rsid w:val="003F2E8B"/>
    <w:rsid w:val="003F377B"/>
    <w:rsid w:val="003F673C"/>
    <w:rsid w:val="0040086C"/>
    <w:rsid w:val="00403C05"/>
    <w:rsid w:val="00406560"/>
    <w:rsid w:val="00412AF9"/>
    <w:rsid w:val="00414FF8"/>
    <w:rsid w:val="00416F67"/>
    <w:rsid w:val="00425E03"/>
    <w:rsid w:val="004307C3"/>
    <w:rsid w:val="00432A0E"/>
    <w:rsid w:val="00435424"/>
    <w:rsid w:val="0044285E"/>
    <w:rsid w:val="00444153"/>
    <w:rsid w:val="004447B9"/>
    <w:rsid w:val="00445CAC"/>
    <w:rsid w:val="00447AE9"/>
    <w:rsid w:val="00447FA4"/>
    <w:rsid w:val="00450E86"/>
    <w:rsid w:val="00451FAE"/>
    <w:rsid w:val="004530B7"/>
    <w:rsid w:val="00456359"/>
    <w:rsid w:val="0046622E"/>
    <w:rsid w:val="00467687"/>
    <w:rsid w:val="00472A79"/>
    <w:rsid w:val="00474494"/>
    <w:rsid w:val="004753F1"/>
    <w:rsid w:val="0047622E"/>
    <w:rsid w:val="004860E5"/>
    <w:rsid w:val="004A379E"/>
    <w:rsid w:val="004A6879"/>
    <w:rsid w:val="004B0B36"/>
    <w:rsid w:val="004B1163"/>
    <w:rsid w:val="004B3F9A"/>
    <w:rsid w:val="004B6B12"/>
    <w:rsid w:val="004C3088"/>
    <w:rsid w:val="004C3759"/>
    <w:rsid w:val="004C53EC"/>
    <w:rsid w:val="004D088B"/>
    <w:rsid w:val="004D230A"/>
    <w:rsid w:val="004E27DF"/>
    <w:rsid w:val="004E5805"/>
    <w:rsid w:val="004E60F1"/>
    <w:rsid w:val="004E6AE3"/>
    <w:rsid w:val="004E75E2"/>
    <w:rsid w:val="004F1C65"/>
    <w:rsid w:val="00504559"/>
    <w:rsid w:val="00504D71"/>
    <w:rsid w:val="00504E64"/>
    <w:rsid w:val="00514754"/>
    <w:rsid w:val="00515F07"/>
    <w:rsid w:val="0051721A"/>
    <w:rsid w:val="005215D9"/>
    <w:rsid w:val="0053459D"/>
    <w:rsid w:val="00541812"/>
    <w:rsid w:val="00544413"/>
    <w:rsid w:val="005569CA"/>
    <w:rsid w:val="0056126A"/>
    <w:rsid w:val="005639CA"/>
    <w:rsid w:val="00565648"/>
    <w:rsid w:val="00570E91"/>
    <w:rsid w:val="00575E7C"/>
    <w:rsid w:val="00584300"/>
    <w:rsid w:val="0058653F"/>
    <w:rsid w:val="00590EF2"/>
    <w:rsid w:val="00594581"/>
    <w:rsid w:val="0059475D"/>
    <w:rsid w:val="005A1F40"/>
    <w:rsid w:val="005A341C"/>
    <w:rsid w:val="005C083B"/>
    <w:rsid w:val="005D049F"/>
    <w:rsid w:val="005D42A7"/>
    <w:rsid w:val="005D4885"/>
    <w:rsid w:val="005D60EC"/>
    <w:rsid w:val="005D6383"/>
    <w:rsid w:val="005D6FF0"/>
    <w:rsid w:val="005E6B0B"/>
    <w:rsid w:val="005F486F"/>
    <w:rsid w:val="00601FC9"/>
    <w:rsid w:val="006130C8"/>
    <w:rsid w:val="0061370A"/>
    <w:rsid w:val="00614E92"/>
    <w:rsid w:val="00615529"/>
    <w:rsid w:val="0061605D"/>
    <w:rsid w:val="00616F12"/>
    <w:rsid w:val="006231E6"/>
    <w:rsid w:val="006259E3"/>
    <w:rsid w:val="00630ADE"/>
    <w:rsid w:val="00633760"/>
    <w:rsid w:val="0063547B"/>
    <w:rsid w:val="00642428"/>
    <w:rsid w:val="00643BED"/>
    <w:rsid w:val="00656658"/>
    <w:rsid w:val="00675301"/>
    <w:rsid w:val="00675DC9"/>
    <w:rsid w:val="00675F8E"/>
    <w:rsid w:val="00676E52"/>
    <w:rsid w:val="0068007F"/>
    <w:rsid w:val="00681D4F"/>
    <w:rsid w:val="0068367D"/>
    <w:rsid w:val="00684452"/>
    <w:rsid w:val="00685DC4"/>
    <w:rsid w:val="006959BF"/>
    <w:rsid w:val="0069624E"/>
    <w:rsid w:val="00696883"/>
    <w:rsid w:val="006A011C"/>
    <w:rsid w:val="006B032E"/>
    <w:rsid w:val="006B1CA0"/>
    <w:rsid w:val="006B65FA"/>
    <w:rsid w:val="006C3849"/>
    <w:rsid w:val="006D12B8"/>
    <w:rsid w:val="006D660D"/>
    <w:rsid w:val="006E4A42"/>
    <w:rsid w:val="006E52A0"/>
    <w:rsid w:val="006F0D1C"/>
    <w:rsid w:val="006F15A5"/>
    <w:rsid w:val="006F7BC3"/>
    <w:rsid w:val="00700727"/>
    <w:rsid w:val="00702830"/>
    <w:rsid w:val="007142FA"/>
    <w:rsid w:val="00722A9F"/>
    <w:rsid w:val="007239F8"/>
    <w:rsid w:val="007269DA"/>
    <w:rsid w:val="0073561F"/>
    <w:rsid w:val="007359E6"/>
    <w:rsid w:val="00741386"/>
    <w:rsid w:val="007434A9"/>
    <w:rsid w:val="0074486F"/>
    <w:rsid w:val="00746438"/>
    <w:rsid w:val="00746BAC"/>
    <w:rsid w:val="00751415"/>
    <w:rsid w:val="00753531"/>
    <w:rsid w:val="007613D0"/>
    <w:rsid w:val="00761DD3"/>
    <w:rsid w:val="00763011"/>
    <w:rsid w:val="00767AE1"/>
    <w:rsid w:val="00773F5F"/>
    <w:rsid w:val="00781657"/>
    <w:rsid w:val="0078195E"/>
    <w:rsid w:val="00784BCE"/>
    <w:rsid w:val="00787255"/>
    <w:rsid w:val="007A1998"/>
    <w:rsid w:val="007A4717"/>
    <w:rsid w:val="007A75D5"/>
    <w:rsid w:val="007B01DF"/>
    <w:rsid w:val="007B1A56"/>
    <w:rsid w:val="007B2CEA"/>
    <w:rsid w:val="007C05CC"/>
    <w:rsid w:val="007C69AF"/>
    <w:rsid w:val="007D070A"/>
    <w:rsid w:val="007E5580"/>
    <w:rsid w:val="007E624D"/>
    <w:rsid w:val="007F1D1B"/>
    <w:rsid w:val="007F3694"/>
    <w:rsid w:val="00802766"/>
    <w:rsid w:val="0080516F"/>
    <w:rsid w:val="00805402"/>
    <w:rsid w:val="0081067F"/>
    <w:rsid w:val="00813088"/>
    <w:rsid w:val="0082588F"/>
    <w:rsid w:val="00831CDB"/>
    <w:rsid w:val="00833800"/>
    <w:rsid w:val="008527FE"/>
    <w:rsid w:val="00853CA0"/>
    <w:rsid w:val="008563EF"/>
    <w:rsid w:val="00861D29"/>
    <w:rsid w:val="00870132"/>
    <w:rsid w:val="0087446C"/>
    <w:rsid w:val="0087495B"/>
    <w:rsid w:val="00883E5C"/>
    <w:rsid w:val="0089730C"/>
    <w:rsid w:val="008A1561"/>
    <w:rsid w:val="008A580F"/>
    <w:rsid w:val="008B05A4"/>
    <w:rsid w:val="008B4178"/>
    <w:rsid w:val="008B7A4A"/>
    <w:rsid w:val="008E38F1"/>
    <w:rsid w:val="008F540F"/>
    <w:rsid w:val="00913EF3"/>
    <w:rsid w:val="00914304"/>
    <w:rsid w:val="00915632"/>
    <w:rsid w:val="00932671"/>
    <w:rsid w:val="00933ED8"/>
    <w:rsid w:val="00943F96"/>
    <w:rsid w:val="00945B40"/>
    <w:rsid w:val="00955200"/>
    <w:rsid w:val="009573BA"/>
    <w:rsid w:val="00960E69"/>
    <w:rsid w:val="00967F3B"/>
    <w:rsid w:val="0097263D"/>
    <w:rsid w:val="00975106"/>
    <w:rsid w:val="0098202F"/>
    <w:rsid w:val="009831B9"/>
    <w:rsid w:val="00983DCD"/>
    <w:rsid w:val="0098647E"/>
    <w:rsid w:val="00992755"/>
    <w:rsid w:val="009933B0"/>
    <w:rsid w:val="00995DD2"/>
    <w:rsid w:val="0099740D"/>
    <w:rsid w:val="009A5018"/>
    <w:rsid w:val="009A5DFE"/>
    <w:rsid w:val="009B100D"/>
    <w:rsid w:val="009B3468"/>
    <w:rsid w:val="009B3E26"/>
    <w:rsid w:val="009C1358"/>
    <w:rsid w:val="009C3090"/>
    <w:rsid w:val="009C311F"/>
    <w:rsid w:val="009D662E"/>
    <w:rsid w:val="009E2F6A"/>
    <w:rsid w:val="009E5300"/>
    <w:rsid w:val="009E6E46"/>
    <w:rsid w:val="009E75C7"/>
    <w:rsid w:val="009F1867"/>
    <w:rsid w:val="009F393D"/>
    <w:rsid w:val="00A01BC1"/>
    <w:rsid w:val="00A0491F"/>
    <w:rsid w:val="00A06230"/>
    <w:rsid w:val="00A1027A"/>
    <w:rsid w:val="00A105A9"/>
    <w:rsid w:val="00A1204E"/>
    <w:rsid w:val="00A226D2"/>
    <w:rsid w:val="00A30A20"/>
    <w:rsid w:val="00A32953"/>
    <w:rsid w:val="00A37ED6"/>
    <w:rsid w:val="00A50764"/>
    <w:rsid w:val="00A5175A"/>
    <w:rsid w:val="00A6267A"/>
    <w:rsid w:val="00A649F5"/>
    <w:rsid w:val="00A722F9"/>
    <w:rsid w:val="00A76FE2"/>
    <w:rsid w:val="00A77272"/>
    <w:rsid w:val="00A7732B"/>
    <w:rsid w:val="00A848A2"/>
    <w:rsid w:val="00A95275"/>
    <w:rsid w:val="00AA0B31"/>
    <w:rsid w:val="00AA539A"/>
    <w:rsid w:val="00AB4429"/>
    <w:rsid w:val="00AB5C66"/>
    <w:rsid w:val="00AC10C2"/>
    <w:rsid w:val="00AC2B2D"/>
    <w:rsid w:val="00AC4620"/>
    <w:rsid w:val="00AC5DDB"/>
    <w:rsid w:val="00AD33F7"/>
    <w:rsid w:val="00AD623D"/>
    <w:rsid w:val="00AD7897"/>
    <w:rsid w:val="00AE0B69"/>
    <w:rsid w:val="00AE31E9"/>
    <w:rsid w:val="00AE3CAB"/>
    <w:rsid w:val="00AF1259"/>
    <w:rsid w:val="00B021E2"/>
    <w:rsid w:val="00B02EE3"/>
    <w:rsid w:val="00B045C5"/>
    <w:rsid w:val="00B10002"/>
    <w:rsid w:val="00B11DC1"/>
    <w:rsid w:val="00B21C89"/>
    <w:rsid w:val="00B23814"/>
    <w:rsid w:val="00B24B88"/>
    <w:rsid w:val="00B3042A"/>
    <w:rsid w:val="00B33371"/>
    <w:rsid w:val="00B409D9"/>
    <w:rsid w:val="00B40E05"/>
    <w:rsid w:val="00B5053A"/>
    <w:rsid w:val="00B529B2"/>
    <w:rsid w:val="00B54FA7"/>
    <w:rsid w:val="00B55538"/>
    <w:rsid w:val="00B66EDF"/>
    <w:rsid w:val="00B71CB7"/>
    <w:rsid w:val="00B72E6C"/>
    <w:rsid w:val="00B73F14"/>
    <w:rsid w:val="00B74A02"/>
    <w:rsid w:val="00B82FAC"/>
    <w:rsid w:val="00B849E9"/>
    <w:rsid w:val="00B84D72"/>
    <w:rsid w:val="00B86B26"/>
    <w:rsid w:val="00B911CC"/>
    <w:rsid w:val="00B92CCF"/>
    <w:rsid w:val="00B92FB2"/>
    <w:rsid w:val="00BA2130"/>
    <w:rsid w:val="00BA246B"/>
    <w:rsid w:val="00BA326E"/>
    <w:rsid w:val="00BB2060"/>
    <w:rsid w:val="00BC015B"/>
    <w:rsid w:val="00BD0A08"/>
    <w:rsid w:val="00BD0A77"/>
    <w:rsid w:val="00BD1420"/>
    <w:rsid w:val="00BD15FB"/>
    <w:rsid w:val="00BD1EEC"/>
    <w:rsid w:val="00BD42BE"/>
    <w:rsid w:val="00BE144C"/>
    <w:rsid w:val="00BE179F"/>
    <w:rsid w:val="00BF5B18"/>
    <w:rsid w:val="00BF66E4"/>
    <w:rsid w:val="00BF76BF"/>
    <w:rsid w:val="00C0240C"/>
    <w:rsid w:val="00C0611A"/>
    <w:rsid w:val="00C112AE"/>
    <w:rsid w:val="00C246CD"/>
    <w:rsid w:val="00C2566E"/>
    <w:rsid w:val="00C333EC"/>
    <w:rsid w:val="00C35F02"/>
    <w:rsid w:val="00C4585E"/>
    <w:rsid w:val="00C51981"/>
    <w:rsid w:val="00C56E4F"/>
    <w:rsid w:val="00C66C70"/>
    <w:rsid w:val="00C70A1B"/>
    <w:rsid w:val="00C70B13"/>
    <w:rsid w:val="00C72A43"/>
    <w:rsid w:val="00C87671"/>
    <w:rsid w:val="00C879BF"/>
    <w:rsid w:val="00C87F8A"/>
    <w:rsid w:val="00C90723"/>
    <w:rsid w:val="00C909CC"/>
    <w:rsid w:val="00C93B66"/>
    <w:rsid w:val="00C952CD"/>
    <w:rsid w:val="00C9764F"/>
    <w:rsid w:val="00CA4EB6"/>
    <w:rsid w:val="00CB0D12"/>
    <w:rsid w:val="00CB170D"/>
    <w:rsid w:val="00CB439B"/>
    <w:rsid w:val="00CC5E71"/>
    <w:rsid w:val="00CD6E38"/>
    <w:rsid w:val="00CF09F6"/>
    <w:rsid w:val="00CF12C6"/>
    <w:rsid w:val="00D03758"/>
    <w:rsid w:val="00D039CB"/>
    <w:rsid w:val="00D13559"/>
    <w:rsid w:val="00D1377B"/>
    <w:rsid w:val="00D13E98"/>
    <w:rsid w:val="00D21D06"/>
    <w:rsid w:val="00D340E6"/>
    <w:rsid w:val="00D353F1"/>
    <w:rsid w:val="00D35B6F"/>
    <w:rsid w:val="00D37215"/>
    <w:rsid w:val="00D37ACF"/>
    <w:rsid w:val="00D478E5"/>
    <w:rsid w:val="00D507B6"/>
    <w:rsid w:val="00D52005"/>
    <w:rsid w:val="00D60A30"/>
    <w:rsid w:val="00D652E2"/>
    <w:rsid w:val="00D843E2"/>
    <w:rsid w:val="00D91456"/>
    <w:rsid w:val="00D934B2"/>
    <w:rsid w:val="00D96F48"/>
    <w:rsid w:val="00DA1D09"/>
    <w:rsid w:val="00DA35C6"/>
    <w:rsid w:val="00DA4C4F"/>
    <w:rsid w:val="00DA79DB"/>
    <w:rsid w:val="00DB04E0"/>
    <w:rsid w:val="00DB77DA"/>
    <w:rsid w:val="00DC732B"/>
    <w:rsid w:val="00DD3EDC"/>
    <w:rsid w:val="00DD4246"/>
    <w:rsid w:val="00DD6D21"/>
    <w:rsid w:val="00DD7B96"/>
    <w:rsid w:val="00DE05BC"/>
    <w:rsid w:val="00DE0953"/>
    <w:rsid w:val="00DF068A"/>
    <w:rsid w:val="00DF4BA6"/>
    <w:rsid w:val="00DF6473"/>
    <w:rsid w:val="00E0009D"/>
    <w:rsid w:val="00E013B0"/>
    <w:rsid w:val="00E23389"/>
    <w:rsid w:val="00E33D53"/>
    <w:rsid w:val="00E340CC"/>
    <w:rsid w:val="00E358ED"/>
    <w:rsid w:val="00E3636D"/>
    <w:rsid w:val="00E41445"/>
    <w:rsid w:val="00E4266F"/>
    <w:rsid w:val="00E50CB5"/>
    <w:rsid w:val="00E5191F"/>
    <w:rsid w:val="00E544F8"/>
    <w:rsid w:val="00E560B1"/>
    <w:rsid w:val="00E61479"/>
    <w:rsid w:val="00E66CA5"/>
    <w:rsid w:val="00E6734A"/>
    <w:rsid w:val="00E77F1A"/>
    <w:rsid w:val="00E86DA9"/>
    <w:rsid w:val="00E8748F"/>
    <w:rsid w:val="00E91068"/>
    <w:rsid w:val="00EA09E0"/>
    <w:rsid w:val="00EA5479"/>
    <w:rsid w:val="00EB0570"/>
    <w:rsid w:val="00EB3755"/>
    <w:rsid w:val="00EB4C73"/>
    <w:rsid w:val="00ED788D"/>
    <w:rsid w:val="00EE35BD"/>
    <w:rsid w:val="00EF1603"/>
    <w:rsid w:val="00EF3563"/>
    <w:rsid w:val="00EF63ED"/>
    <w:rsid w:val="00EF75BF"/>
    <w:rsid w:val="00F12550"/>
    <w:rsid w:val="00F155A1"/>
    <w:rsid w:val="00F20B23"/>
    <w:rsid w:val="00F21C84"/>
    <w:rsid w:val="00F3669A"/>
    <w:rsid w:val="00F413DB"/>
    <w:rsid w:val="00F42A02"/>
    <w:rsid w:val="00F43F83"/>
    <w:rsid w:val="00F4676E"/>
    <w:rsid w:val="00F4722B"/>
    <w:rsid w:val="00F51D53"/>
    <w:rsid w:val="00F54122"/>
    <w:rsid w:val="00F54AD1"/>
    <w:rsid w:val="00F54F9F"/>
    <w:rsid w:val="00F55071"/>
    <w:rsid w:val="00F55F00"/>
    <w:rsid w:val="00F6278D"/>
    <w:rsid w:val="00F647EC"/>
    <w:rsid w:val="00F64BD4"/>
    <w:rsid w:val="00F669B9"/>
    <w:rsid w:val="00F67FD2"/>
    <w:rsid w:val="00F72E48"/>
    <w:rsid w:val="00F73B1F"/>
    <w:rsid w:val="00F73BFD"/>
    <w:rsid w:val="00F8007E"/>
    <w:rsid w:val="00F80900"/>
    <w:rsid w:val="00F908F6"/>
    <w:rsid w:val="00F91B83"/>
    <w:rsid w:val="00F91D23"/>
    <w:rsid w:val="00F95332"/>
    <w:rsid w:val="00F97D79"/>
    <w:rsid w:val="00FA53DE"/>
    <w:rsid w:val="00FB1C68"/>
    <w:rsid w:val="00FB5CE9"/>
    <w:rsid w:val="00FC3861"/>
    <w:rsid w:val="00FD47F2"/>
    <w:rsid w:val="00FE1C50"/>
    <w:rsid w:val="00FE3783"/>
    <w:rsid w:val="00FE4BBF"/>
    <w:rsid w:val="00FE7CB7"/>
    <w:rsid w:val="00FF05DB"/>
    <w:rsid w:val="00FF51D5"/>
    <w:rsid w:val="00FF5705"/>
    <w:rsid w:val="00FF6E79"/>
    <w:rsid w:val="02516743"/>
    <w:rsid w:val="04B40AB5"/>
    <w:rsid w:val="05037838"/>
    <w:rsid w:val="05651F58"/>
    <w:rsid w:val="057E3C9F"/>
    <w:rsid w:val="05EA4B8A"/>
    <w:rsid w:val="06721399"/>
    <w:rsid w:val="0ACB50DD"/>
    <w:rsid w:val="0AED4FD5"/>
    <w:rsid w:val="0C123042"/>
    <w:rsid w:val="0D247F13"/>
    <w:rsid w:val="0DA80A47"/>
    <w:rsid w:val="0EEF3211"/>
    <w:rsid w:val="0FB7143E"/>
    <w:rsid w:val="10D64689"/>
    <w:rsid w:val="130C4392"/>
    <w:rsid w:val="14CF0DC0"/>
    <w:rsid w:val="15463A9F"/>
    <w:rsid w:val="173E73D2"/>
    <w:rsid w:val="18FC7F4B"/>
    <w:rsid w:val="1A94557B"/>
    <w:rsid w:val="1BA93741"/>
    <w:rsid w:val="1C7A10DD"/>
    <w:rsid w:val="1D513157"/>
    <w:rsid w:val="1E676FDF"/>
    <w:rsid w:val="1FCD1657"/>
    <w:rsid w:val="1FF390FE"/>
    <w:rsid w:val="1FF87545"/>
    <w:rsid w:val="2059238D"/>
    <w:rsid w:val="235C2F90"/>
    <w:rsid w:val="24003974"/>
    <w:rsid w:val="240D53B0"/>
    <w:rsid w:val="24134F12"/>
    <w:rsid w:val="270F2585"/>
    <w:rsid w:val="27C4280F"/>
    <w:rsid w:val="29BC7674"/>
    <w:rsid w:val="2C3B13EC"/>
    <w:rsid w:val="2D100653"/>
    <w:rsid w:val="2DAD00C8"/>
    <w:rsid w:val="2F1F627B"/>
    <w:rsid w:val="3098505F"/>
    <w:rsid w:val="32E225C2"/>
    <w:rsid w:val="32FF7B26"/>
    <w:rsid w:val="3495335C"/>
    <w:rsid w:val="353A66E5"/>
    <w:rsid w:val="37765445"/>
    <w:rsid w:val="377BBE8C"/>
    <w:rsid w:val="3A0E31EF"/>
    <w:rsid w:val="3DFFD35E"/>
    <w:rsid w:val="3EC64FD9"/>
    <w:rsid w:val="3F994F93"/>
    <w:rsid w:val="3FBFB2D6"/>
    <w:rsid w:val="437079FC"/>
    <w:rsid w:val="45840ABD"/>
    <w:rsid w:val="46535859"/>
    <w:rsid w:val="49C92B03"/>
    <w:rsid w:val="4B8A6634"/>
    <w:rsid w:val="4BAF6D3D"/>
    <w:rsid w:val="4D483FD1"/>
    <w:rsid w:val="4D7C79ED"/>
    <w:rsid w:val="4E156A6D"/>
    <w:rsid w:val="4F2837EA"/>
    <w:rsid w:val="4FAC1767"/>
    <w:rsid w:val="501D1653"/>
    <w:rsid w:val="54A05C84"/>
    <w:rsid w:val="563F6FEE"/>
    <w:rsid w:val="59BED270"/>
    <w:rsid w:val="5B1A6BA2"/>
    <w:rsid w:val="5FB51C0C"/>
    <w:rsid w:val="5FDEC7FC"/>
    <w:rsid w:val="602039B3"/>
    <w:rsid w:val="624555E9"/>
    <w:rsid w:val="64AE2471"/>
    <w:rsid w:val="66C832A1"/>
    <w:rsid w:val="673F17B5"/>
    <w:rsid w:val="67DF2751"/>
    <w:rsid w:val="68760762"/>
    <w:rsid w:val="6A133D63"/>
    <w:rsid w:val="6BEFE1D2"/>
    <w:rsid w:val="6C1C6637"/>
    <w:rsid w:val="6DB86E0B"/>
    <w:rsid w:val="6E5F1491"/>
    <w:rsid w:val="6F2F6B6B"/>
    <w:rsid w:val="6FBA16CD"/>
    <w:rsid w:val="713615C3"/>
    <w:rsid w:val="727D7636"/>
    <w:rsid w:val="737BC9AE"/>
    <w:rsid w:val="73A75F34"/>
    <w:rsid w:val="748C663F"/>
    <w:rsid w:val="757CBBAE"/>
    <w:rsid w:val="75A2437B"/>
    <w:rsid w:val="75B23619"/>
    <w:rsid w:val="7621652A"/>
    <w:rsid w:val="77763149"/>
    <w:rsid w:val="77B062CA"/>
    <w:rsid w:val="77FB67D3"/>
    <w:rsid w:val="77FBB5BF"/>
    <w:rsid w:val="788E4A59"/>
    <w:rsid w:val="78FB0617"/>
    <w:rsid w:val="79A90CA8"/>
    <w:rsid w:val="79FF77A3"/>
    <w:rsid w:val="7AD56599"/>
    <w:rsid w:val="7B9CE697"/>
    <w:rsid w:val="7BD7B164"/>
    <w:rsid w:val="7CFC0610"/>
    <w:rsid w:val="7D4A4319"/>
    <w:rsid w:val="7DAF9AC1"/>
    <w:rsid w:val="7DED112A"/>
    <w:rsid w:val="7EFF2A37"/>
    <w:rsid w:val="7EFFEF1C"/>
    <w:rsid w:val="7F5D4E94"/>
    <w:rsid w:val="7F7F20D7"/>
    <w:rsid w:val="7F866CDF"/>
    <w:rsid w:val="7FDE8CCC"/>
    <w:rsid w:val="7FFF4249"/>
    <w:rsid w:val="9EFA7874"/>
    <w:rsid w:val="AFD3AA7A"/>
    <w:rsid w:val="B1F776D6"/>
    <w:rsid w:val="B53EC17C"/>
    <w:rsid w:val="CFFF7EAA"/>
    <w:rsid w:val="D5FE0A2F"/>
    <w:rsid w:val="DFD8F68C"/>
    <w:rsid w:val="DFEB6912"/>
    <w:rsid w:val="DFEF1CC2"/>
    <w:rsid w:val="DFFC06CE"/>
    <w:rsid w:val="EB166A02"/>
    <w:rsid w:val="EEBBC5C2"/>
    <w:rsid w:val="EFE993B1"/>
    <w:rsid w:val="F5FEC5DE"/>
    <w:rsid w:val="F757B33A"/>
    <w:rsid w:val="FB7DC8E4"/>
    <w:rsid w:val="FBDFE7D6"/>
    <w:rsid w:val="FDDD3348"/>
    <w:rsid w:val="FEFFCAC7"/>
    <w:rsid w:val="FFFB6953"/>
    <w:rsid w:val="FFFDE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0" w:semiHidden="0"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5">
    <w:name w:val="Default Paragraph Font"/>
    <w:semiHidden/>
    <w:unhideWhenUsed/>
    <w:qFormat/>
    <w:uiPriority w:val="1"/>
  </w:style>
  <w:style w:type="table" w:default="1" w:styleId="1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Indent 2"/>
    <w:basedOn w:val="1"/>
    <w:next w:val="3"/>
    <w:link w:val="28"/>
    <w:qFormat/>
    <w:uiPriority w:val="99"/>
    <w:pPr>
      <w:spacing w:after="120" w:line="480" w:lineRule="auto"/>
      <w:ind w:left="420" w:leftChars="200"/>
    </w:pPr>
  </w:style>
  <w:style w:type="paragraph" w:customStyle="1" w:styleId="3">
    <w:name w:val="简单回函地址"/>
    <w:basedOn w:val="1"/>
    <w:next w:val="4"/>
    <w:qFormat/>
    <w:uiPriority w:val="0"/>
  </w:style>
  <w:style w:type="paragraph" w:customStyle="1" w:styleId="4">
    <w:name w:val="正文2"/>
    <w:basedOn w:val="1"/>
    <w:qFormat/>
    <w:uiPriority w:val="0"/>
    <w:pPr>
      <w:autoSpaceDE w:val="0"/>
      <w:autoSpaceDN w:val="0"/>
      <w:spacing w:line="480" w:lineRule="exact"/>
      <w:ind w:left="556"/>
      <w:textAlignment w:val="bottom"/>
    </w:pPr>
    <w:rPr>
      <w:color w:val="000000"/>
      <w:sz w:val="28"/>
    </w:rPr>
  </w:style>
  <w:style w:type="paragraph" w:styleId="5">
    <w:name w:val="Normal Indent"/>
    <w:basedOn w:val="1"/>
    <w:link w:val="33"/>
    <w:qFormat/>
    <w:uiPriority w:val="0"/>
    <w:pPr>
      <w:ind w:firstLine="420" w:firstLineChars="200"/>
    </w:pPr>
    <w:rPr>
      <w:rFonts w:ascii="Verdana" w:hAnsi="Verdana" w:eastAsiaTheme="minorEastAsia" w:cstheme="minorBidi"/>
      <w:spacing w:val="6"/>
      <w:kern w:val="0"/>
      <w:sz w:val="20"/>
      <w:szCs w:val="20"/>
      <w:lang w:eastAsia="en-US"/>
    </w:rPr>
  </w:style>
  <w:style w:type="paragraph" w:styleId="6">
    <w:name w:val="Body Text"/>
    <w:basedOn w:val="1"/>
    <w:link w:val="27"/>
    <w:unhideWhenUsed/>
    <w:qFormat/>
    <w:uiPriority w:val="0"/>
    <w:pPr>
      <w:spacing w:after="120"/>
    </w:pPr>
  </w:style>
  <w:style w:type="paragraph" w:styleId="7">
    <w:name w:val="Body Text Indent"/>
    <w:basedOn w:val="1"/>
    <w:link w:val="43"/>
    <w:semiHidden/>
    <w:unhideWhenUsed/>
    <w:qFormat/>
    <w:uiPriority w:val="99"/>
    <w:pPr>
      <w:spacing w:after="120"/>
      <w:ind w:left="420" w:leftChars="200"/>
    </w:pPr>
  </w:style>
  <w:style w:type="paragraph" w:styleId="8">
    <w:name w:val="Balloon Text"/>
    <w:basedOn w:val="1"/>
    <w:link w:val="24"/>
    <w:semiHidden/>
    <w:unhideWhenUsed/>
    <w:qFormat/>
    <w:uiPriority w:val="99"/>
    <w:rPr>
      <w:sz w:val="18"/>
      <w:szCs w:val="18"/>
    </w:rPr>
  </w:style>
  <w:style w:type="paragraph" w:styleId="9">
    <w:name w:val="footer"/>
    <w:basedOn w:val="1"/>
    <w:link w:val="20"/>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0">
    <w:name w:val="header"/>
    <w:basedOn w:val="1"/>
    <w:link w:val="19"/>
    <w:unhideWhenUsed/>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1">
    <w:name w:val="Body Text 2"/>
    <w:basedOn w:val="1"/>
    <w:link w:val="32"/>
    <w:unhideWhenUsed/>
    <w:qFormat/>
    <w:uiPriority w:val="0"/>
    <w:pPr>
      <w:spacing w:after="120" w:line="480" w:lineRule="auto"/>
    </w:pPr>
  </w:style>
  <w:style w:type="paragraph" w:styleId="12">
    <w:name w:val="Normal (Web)"/>
    <w:basedOn w:val="1"/>
    <w:link w:val="21"/>
    <w:unhideWhenUsed/>
    <w:qFormat/>
    <w:uiPriority w:val="99"/>
    <w:pPr>
      <w:widowControl/>
      <w:spacing w:before="100" w:beforeAutospacing="1" w:after="100" w:afterAutospacing="1"/>
      <w:jc w:val="left"/>
    </w:pPr>
    <w:rPr>
      <w:rFonts w:ascii="宋体" w:hAnsi="宋体" w:cstheme="minorBidi"/>
      <w:sz w:val="24"/>
      <w:szCs w:val="22"/>
    </w:rPr>
  </w:style>
  <w:style w:type="table" w:styleId="14">
    <w:name w:val="Table Grid"/>
    <w:basedOn w:val="13"/>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22"/>
    <w:rPr>
      <w:b/>
    </w:rPr>
  </w:style>
  <w:style w:type="character" w:styleId="17">
    <w:name w:val="Emphasis"/>
    <w:basedOn w:val="15"/>
    <w:qFormat/>
    <w:uiPriority w:val="20"/>
    <w:rPr>
      <w:i/>
      <w:iCs/>
    </w:rPr>
  </w:style>
  <w:style w:type="character" w:styleId="18">
    <w:name w:val="Hyperlink"/>
    <w:basedOn w:val="15"/>
    <w:qFormat/>
    <w:uiPriority w:val="99"/>
    <w:rPr>
      <w:rFonts w:ascii="Verdana" w:hAnsi="Verdana"/>
      <w:color w:val="333333"/>
      <w:spacing w:val="6"/>
      <w:kern w:val="0"/>
      <w:sz w:val="24"/>
      <w:szCs w:val="20"/>
      <w:u w:val="none"/>
      <w:lang w:eastAsia="en-US"/>
    </w:rPr>
  </w:style>
  <w:style w:type="character" w:customStyle="1" w:styleId="19">
    <w:name w:val="页眉 Char"/>
    <w:basedOn w:val="15"/>
    <w:link w:val="10"/>
    <w:qFormat/>
    <w:uiPriority w:val="0"/>
    <w:rPr>
      <w:sz w:val="18"/>
      <w:szCs w:val="18"/>
    </w:rPr>
  </w:style>
  <w:style w:type="character" w:customStyle="1" w:styleId="20">
    <w:name w:val="页脚 Char"/>
    <w:basedOn w:val="15"/>
    <w:link w:val="9"/>
    <w:qFormat/>
    <w:uiPriority w:val="99"/>
    <w:rPr>
      <w:sz w:val="18"/>
      <w:szCs w:val="18"/>
    </w:rPr>
  </w:style>
  <w:style w:type="character" w:customStyle="1" w:styleId="21">
    <w:name w:val="普通(网站) Char"/>
    <w:link w:val="12"/>
    <w:qFormat/>
    <w:locked/>
    <w:uiPriority w:val="0"/>
    <w:rPr>
      <w:rFonts w:ascii="宋体" w:hAnsi="宋体" w:eastAsia="宋体"/>
      <w:sz w:val="24"/>
    </w:rPr>
  </w:style>
  <w:style w:type="character" w:customStyle="1" w:styleId="22">
    <w:name w:val="表格 Char"/>
    <w:link w:val="23"/>
    <w:qFormat/>
    <w:locked/>
    <w:uiPriority w:val="0"/>
    <w:rPr>
      <w:rFonts w:ascii="宋体" w:hAnsi="宋体" w:eastAsia="宋体"/>
    </w:rPr>
  </w:style>
  <w:style w:type="paragraph" w:customStyle="1" w:styleId="23">
    <w:name w:val="表格"/>
    <w:basedOn w:val="1"/>
    <w:next w:val="1"/>
    <w:link w:val="22"/>
    <w:qFormat/>
    <w:uiPriority w:val="0"/>
    <w:pPr>
      <w:adjustRightInd w:val="0"/>
      <w:snapToGrid w:val="0"/>
      <w:spacing w:beforeLines="10" w:line="256" w:lineRule="auto"/>
      <w:jc w:val="center"/>
    </w:pPr>
    <w:rPr>
      <w:rFonts w:ascii="宋体" w:hAnsi="宋体" w:cstheme="minorBidi"/>
      <w:szCs w:val="22"/>
    </w:rPr>
  </w:style>
  <w:style w:type="character" w:customStyle="1" w:styleId="24">
    <w:name w:val="批注框文本 Char"/>
    <w:basedOn w:val="15"/>
    <w:link w:val="8"/>
    <w:semiHidden/>
    <w:qFormat/>
    <w:uiPriority w:val="99"/>
    <w:rPr>
      <w:rFonts w:ascii="Times New Roman" w:hAnsi="Times New Roman" w:eastAsia="宋体" w:cs="Times New Roman"/>
      <w:sz w:val="18"/>
      <w:szCs w:val="18"/>
    </w:rPr>
  </w:style>
  <w:style w:type="paragraph" w:customStyle="1" w:styleId="25">
    <w:name w:val="列出段落1"/>
    <w:basedOn w:val="1"/>
    <w:qFormat/>
    <w:uiPriority w:val="0"/>
    <w:pPr>
      <w:ind w:firstLine="420" w:firstLineChars="200"/>
    </w:pPr>
  </w:style>
  <w:style w:type="paragraph" w:customStyle="1" w:styleId="26">
    <w:name w:val="表格文字"/>
    <w:basedOn w:val="6"/>
    <w:qFormat/>
    <w:uiPriority w:val="0"/>
    <w:pPr>
      <w:spacing w:before="100" w:beforeAutospacing="1" w:after="0"/>
    </w:pPr>
    <w:rPr>
      <w:szCs w:val="21"/>
    </w:rPr>
  </w:style>
  <w:style w:type="character" w:customStyle="1" w:styleId="27">
    <w:name w:val="正文文本 Char"/>
    <w:basedOn w:val="15"/>
    <w:link w:val="6"/>
    <w:qFormat/>
    <w:uiPriority w:val="0"/>
    <w:rPr>
      <w:rFonts w:ascii="Times New Roman" w:hAnsi="Times New Roman" w:eastAsia="宋体" w:cs="Times New Roman"/>
      <w:kern w:val="2"/>
      <w:sz w:val="21"/>
      <w:szCs w:val="24"/>
    </w:rPr>
  </w:style>
  <w:style w:type="character" w:customStyle="1" w:styleId="28">
    <w:name w:val="正文文本缩进 2 Char"/>
    <w:basedOn w:val="15"/>
    <w:link w:val="2"/>
    <w:qFormat/>
    <w:uiPriority w:val="99"/>
    <w:rPr>
      <w:rFonts w:ascii="Times New Roman" w:hAnsi="Times New Roman" w:eastAsia="宋体" w:cs="Times New Roman"/>
      <w:kern w:val="2"/>
      <w:sz w:val="21"/>
      <w:szCs w:val="24"/>
    </w:rPr>
  </w:style>
  <w:style w:type="character" w:customStyle="1" w:styleId="29">
    <w:name w:val="16"/>
    <w:basedOn w:val="15"/>
    <w:qFormat/>
    <w:uiPriority w:val="0"/>
    <w:rPr>
      <w:rFonts w:hint="default" w:ascii="Times New Roman" w:hAnsi="Times New Roman" w:cs="Times New Roman"/>
      <w:color w:val="FF0000"/>
      <w:sz w:val="18"/>
      <w:szCs w:val="18"/>
    </w:rPr>
  </w:style>
  <w:style w:type="character" w:customStyle="1" w:styleId="30">
    <w:name w:val="17"/>
    <w:basedOn w:val="15"/>
    <w:qFormat/>
    <w:uiPriority w:val="0"/>
    <w:rPr>
      <w:rFonts w:hint="eastAsia" w:ascii="宋体" w:hAnsi="宋体" w:eastAsia="宋体"/>
      <w:color w:val="FF0000"/>
      <w:sz w:val="18"/>
      <w:szCs w:val="18"/>
    </w:rPr>
  </w:style>
  <w:style w:type="paragraph" w:customStyle="1" w:styleId="31">
    <w:name w:val="样式4"/>
    <w:basedOn w:val="1"/>
    <w:next w:val="1"/>
    <w:qFormat/>
    <w:uiPriority w:val="0"/>
    <w:pPr>
      <w:spacing w:line="440" w:lineRule="exact"/>
    </w:pPr>
    <w:rPr>
      <w:sz w:val="24"/>
    </w:rPr>
  </w:style>
  <w:style w:type="character" w:customStyle="1" w:styleId="32">
    <w:name w:val="正文文本 2 Char"/>
    <w:basedOn w:val="15"/>
    <w:link w:val="11"/>
    <w:qFormat/>
    <w:uiPriority w:val="0"/>
    <w:rPr>
      <w:rFonts w:ascii="Times New Roman" w:hAnsi="Times New Roman" w:eastAsia="宋体" w:cs="Times New Roman"/>
      <w:kern w:val="2"/>
      <w:sz w:val="21"/>
      <w:szCs w:val="24"/>
    </w:rPr>
  </w:style>
  <w:style w:type="character" w:customStyle="1" w:styleId="33">
    <w:name w:val="正文缩进 Char"/>
    <w:basedOn w:val="15"/>
    <w:link w:val="5"/>
    <w:qFormat/>
    <w:uiPriority w:val="0"/>
    <w:rPr>
      <w:rFonts w:ascii="Verdana" w:hAnsi="Verdana"/>
      <w:spacing w:val="6"/>
      <w:lang w:eastAsia="en-US"/>
    </w:rPr>
  </w:style>
  <w:style w:type="paragraph" w:customStyle="1" w:styleId="34">
    <w:name w:val="报告表格"/>
    <w:basedOn w:val="1"/>
    <w:qFormat/>
    <w:uiPriority w:val="0"/>
    <w:pPr>
      <w:autoSpaceDE w:val="0"/>
      <w:autoSpaceDN w:val="0"/>
      <w:adjustRightInd w:val="0"/>
      <w:spacing w:before="40" w:after="40"/>
      <w:jc w:val="center"/>
      <w:textAlignment w:val="bottom"/>
    </w:pPr>
    <w:rPr>
      <w:kern w:val="0"/>
      <w:szCs w:val="20"/>
    </w:rPr>
  </w:style>
  <w:style w:type="paragraph" w:customStyle="1" w:styleId="35">
    <w:name w:val="表格标题"/>
    <w:basedOn w:val="1"/>
    <w:qFormat/>
    <w:uiPriority w:val="0"/>
    <w:pPr>
      <w:spacing w:before="120"/>
      <w:jc w:val="center"/>
    </w:pPr>
    <w:rPr>
      <w:rFonts w:eastAsia="仿宋_GB2312"/>
      <w:sz w:val="24"/>
      <w:szCs w:val="20"/>
    </w:rPr>
  </w:style>
  <w:style w:type="paragraph" w:customStyle="1" w:styleId="36">
    <w:name w:val="样式 表格 32 + 首行缩进:  2 字符"/>
    <w:basedOn w:val="1"/>
    <w:qFormat/>
    <w:uiPriority w:val="0"/>
    <w:pPr>
      <w:autoSpaceDE w:val="0"/>
      <w:autoSpaceDN w:val="0"/>
      <w:adjustRightInd w:val="0"/>
      <w:spacing w:line="0" w:lineRule="atLeast"/>
      <w:jc w:val="center"/>
      <w:textAlignment w:val="baseline"/>
    </w:pPr>
    <w:rPr>
      <w:rFonts w:cs="宋体"/>
      <w:kern w:val="0"/>
      <w:szCs w:val="21"/>
    </w:rPr>
  </w:style>
  <w:style w:type="paragraph" w:customStyle="1" w:styleId="37">
    <w:name w:val="edri-正文"/>
    <w:basedOn w:val="1"/>
    <w:qFormat/>
    <w:uiPriority w:val="0"/>
    <w:pPr>
      <w:snapToGrid w:val="0"/>
      <w:spacing w:beforeLines="50" w:line="300" w:lineRule="auto"/>
      <w:ind w:left="428" w:leftChars="428"/>
    </w:pPr>
    <w:rPr>
      <w:sz w:val="24"/>
    </w:rPr>
  </w:style>
  <w:style w:type="paragraph" w:customStyle="1" w:styleId="38">
    <w:name w:val="表格文字样式"/>
    <w:basedOn w:val="1"/>
    <w:qFormat/>
    <w:uiPriority w:val="0"/>
    <w:pPr>
      <w:tabs>
        <w:tab w:val="left" w:pos="567"/>
      </w:tabs>
      <w:jc w:val="center"/>
    </w:pPr>
    <w:rPr>
      <w:rFonts w:eastAsia="华文中宋"/>
      <w:spacing w:val="20"/>
      <w:sz w:val="24"/>
      <w:szCs w:val="20"/>
    </w:rPr>
  </w:style>
  <w:style w:type="paragraph" w:customStyle="1" w:styleId="39">
    <w:name w:val="Table Paragraph"/>
    <w:basedOn w:val="1"/>
    <w:qFormat/>
    <w:uiPriority w:val="0"/>
    <w:pPr>
      <w:spacing w:before="100" w:beforeAutospacing="1"/>
      <w:jc w:val="left"/>
    </w:pPr>
    <w:rPr>
      <w:rFonts w:ascii="Calibri" w:hAnsi="Calibri"/>
      <w:kern w:val="0"/>
      <w:sz w:val="22"/>
      <w:szCs w:val="22"/>
    </w:rPr>
  </w:style>
  <w:style w:type="paragraph" w:customStyle="1" w:styleId="40">
    <w:name w:val="正文1"/>
    <w:qFormat/>
    <w:uiPriority w:val="0"/>
    <w:pPr>
      <w:jc w:val="both"/>
    </w:pPr>
    <w:rPr>
      <w:rFonts w:ascii="Calibri" w:hAnsi="Calibri" w:eastAsia="宋体" w:cs="Calibri"/>
      <w:kern w:val="2"/>
      <w:sz w:val="21"/>
      <w:szCs w:val="21"/>
      <w:lang w:val="en-US" w:eastAsia="zh-CN" w:bidi="ar-SA"/>
    </w:rPr>
  </w:style>
  <w:style w:type="paragraph" w:customStyle="1" w:styleId="41">
    <w:name w:val="表格正文"/>
    <w:basedOn w:val="1"/>
    <w:qFormat/>
    <w:uiPriority w:val="0"/>
    <w:pPr>
      <w:spacing w:line="360" w:lineRule="exact"/>
      <w:jc w:val="center"/>
    </w:pPr>
    <w:rPr>
      <w:rFonts w:ascii="Arial" w:hAnsi="Arial"/>
      <w:szCs w:val="20"/>
    </w:rPr>
  </w:style>
  <w:style w:type="paragraph" w:customStyle="1" w:styleId="42">
    <w:name w:val="rpt_表项"/>
    <w:basedOn w:val="1"/>
    <w:qFormat/>
    <w:uiPriority w:val="0"/>
    <w:pPr>
      <w:spacing w:before="60" w:after="60"/>
      <w:jc w:val="center"/>
    </w:pPr>
    <w:rPr>
      <w:rFonts w:cs="宋体"/>
      <w:kern w:val="0"/>
      <w:sz w:val="22"/>
      <w:szCs w:val="22"/>
    </w:rPr>
  </w:style>
  <w:style w:type="character" w:customStyle="1" w:styleId="43">
    <w:name w:val="正文文本缩进 Char"/>
    <w:basedOn w:val="15"/>
    <w:link w:val="7"/>
    <w:semiHidden/>
    <w:qFormat/>
    <w:uiPriority w:val="99"/>
    <w:rPr>
      <w:kern w:val="2"/>
      <w:sz w:val="21"/>
      <w:szCs w:val="24"/>
    </w:rPr>
  </w:style>
  <w:style w:type="paragraph" w:customStyle="1" w:styleId="44">
    <w:name w:val="Normal_0"/>
    <w:basedOn w:val="1"/>
    <w:qFormat/>
    <w:uiPriority w:val="0"/>
    <w:pPr>
      <w:spacing w:line="360" w:lineRule="auto"/>
      <w:ind w:firstLine="200" w:firstLineChars="200"/>
    </w:pPr>
    <w:rPr>
      <w:rFonts w:eastAsia="仿宋"/>
      <w:sz w:val="28"/>
      <w:szCs w:val="28"/>
    </w:rPr>
  </w:style>
  <w:style w:type="character" w:customStyle="1" w:styleId="45">
    <w:name w:val="10"/>
    <w:basedOn w:val="15"/>
    <w:qFormat/>
    <w:uiPriority w:val="0"/>
    <w:rPr>
      <w:rFonts w:hint="default" w:ascii="Calibri" w:hAnsi="Calibri" w:cs="Calibri"/>
    </w:rPr>
  </w:style>
  <w:style w:type="paragraph" w:customStyle="1" w:styleId="46">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47">
    <w:name w:val="Default1"/>
    <w:basedOn w:val="1"/>
    <w:qFormat/>
    <w:uiPriority w:val="0"/>
    <w:pPr>
      <w:autoSpaceDE w:val="0"/>
      <w:autoSpaceDN w:val="0"/>
      <w:adjustRightInd w:val="0"/>
      <w:jc w:val="left"/>
    </w:pPr>
    <w:rPr>
      <w:rFonts w:ascii="宋体" w:hAnsi="宋体" w:cs="宋体"/>
      <w:color w:val="000000"/>
      <w:kern w:val="0"/>
      <w:sz w:val="24"/>
    </w:rPr>
  </w:style>
  <w:style w:type="paragraph" w:customStyle="1" w:styleId="48">
    <w:name w:val="Default"/>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31"/>
    <customShpInfo spid="_x0000_s1030"/>
    <customShpInfo spid="_x0000_s1062"/>
    <customShpInfo spid="_x0000_s1036"/>
    <customShpInfo spid="_x0000_s1035"/>
    <customShpInfo spid="_x0000_s1034"/>
    <customShpInfo spid="_x0000_s1032"/>
    <customShpInfo spid="_x0000_s1028"/>
    <customShpInfo spid="_x0000_s1059"/>
    <customShpInfo spid="_x0000_s1060"/>
    <customShpInfo spid="_x0000_s1057"/>
    <customShpInfo spid="_x0000_s1058"/>
    <customShpInfo spid="_x0000_s1037"/>
    <customShpInfo spid="_x0000_s1038"/>
    <customShpInfo spid="_x0000_s1040"/>
    <customShpInfo spid="_x0000_s1041"/>
    <customShpInfo spid="_x0000_s1039"/>
    <customShpInfo spid="_x0000_s1042"/>
    <customShpInfo spid="_x0000_s1043"/>
    <customShpInfo spid="_x0000_s1044"/>
    <customShpInfo spid="_x0000_s1055"/>
    <customShpInfo spid="_x0000_s1063"/>
    <customShpInfo spid="_x0000_s1069"/>
    <customShpInfo spid="_x0000_s1068"/>
    <customShpInfo spid="_x0000_s1064"/>
    <customShpInfo spid="_x0000_s1045"/>
    <customShpInfo spid="_x0000_s1046"/>
    <customShpInfo spid="_x0000_s1047"/>
    <customShpInfo spid="_x0000_s1048"/>
    <customShpInfo spid="_x0000_s1049"/>
    <customShpInfo spid="_x0000_s1066"/>
    <customShpInfo spid="_x0000_s1065"/>
    <customShpInfo spid="_x0000_s1050"/>
    <customShpInfo spid="_x0000_s1051"/>
    <customShpInfo spid="_x0000_s1052"/>
    <customShpInfo spid="_x0000_s1053"/>
    <customShpInfo spid="_x0000_s1054"/>
    <customShpInfo spid="_x0000_s1067"/>
    <customShpInfo spid="_x0000_s1071" textRotate="1"/>
  </customShpExts>
</s:customData>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A1958A-B185-4F57-B54B-80DAC425144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55</Pages>
  <Words>39165</Words>
  <Characters>42846</Characters>
  <Lines>349</Lines>
  <Paragraphs>98</Paragraphs>
  <TotalTime>25</TotalTime>
  <ScaleCrop>false</ScaleCrop>
  <LinksUpToDate>false</LinksUpToDate>
  <CharactersWithSpaces>43201</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2021-03-18T16:53:00Z</dcterms:created>
  <dc:creator>Administrator</dc:creator>
  <cp:lastModifiedBy>tcq</cp:lastModifiedBy>
  <cp:lastPrinted>2022-07-18T10:36:00Z</cp:lastPrinted>
  <dcterms:modified xsi:type="dcterms:W3CDTF">2025-12-08T13:58:57Z</dcterms:modified>
  <cp:revision>356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DCD867E7539D4B12925FF13C0338FBE2</vt:lpwstr>
  </property>
</Properties>
</file>