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CD91">
      <w:pPr>
        <w:spacing w:line="363" w:lineRule="exact"/>
        <w:outlineLvl w:val="0"/>
        <w:rPr>
          <w:rFonts w:hAnsi="Calibri"/>
          <w:color w:val="000000"/>
          <w:sz w:val="28"/>
          <w:szCs w:val="28"/>
        </w:rPr>
      </w:pPr>
      <w:bookmarkStart w:id="0" w:name="br1"/>
      <w:bookmarkEnd w:id="0"/>
      <w:bookmarkStart w:id="1" w:name="_Toc10557"/>
      <w:r>
        <w:rPr>
          <w:rFonts w:ascii="黑体" w:hAnsi="黑体" w:cs="黑体"/>
          <w:color w:val="000000"/>
          <w:spacing w:val="2"/>
          <w:sz w:val="28"/>
          <w:szCs w:val="28"/>
        </w:rPr>
        <w:t>附件</w:t>
      </w:r>
      <w:r>
        <w:rPr>
          <w:rFonts w:hAnsi="Calibri" w:cstheme="minorBidi"/>
          <w:color w:val="000000"/>
          <w:spacing w:val="-1"/>
          <w:sz w:val="28"/>
          <w:szCs w:val="28"/>
        </w:rPr>
        <w:t xml:space="preserve"> </w:t>
      </w:r>
      <w:r>
        <w:rPr>
          <w:rFonts w:hAnsi="Calibri" w:cstheme="minorBidi"/>
          <w:color w:val="000000"/>
          <w:sz w:val="28"/>
          <w:szCs w:val="28"/>
        </w:rPr>
        <w:t>1</w:t>
      </w:r>
      <w:bookmarkEnd w:id="1"/>
    </w:p>
    <w:p w14:paraId="294E9724">
      <w:pPr>
        <w:adjustRightInd w:val="0"/>
        <w:snapToGrid w:val="0"/>
        <w:spacing w:before="725" w:line="500" w:lineRule="exact"/>
        <w:ind w:left="3101" w:leftChars="0"/>
        <w:outlineLvl w:val="0"/>
        <w:rPr>
          <w:rFonts w:hAnsi="Calibri"/>
          <w:b/>
          <w:bCs/>
          <w:color w:val="000000"/>
          <w:sz w:val="44"/>
          <w:szCs w:val="44"/>
        </w:rPr>
      </w:pPr>
      <w:bookmarkStart w:id="17" w:name="_GoBack"/>
      <w:bookmarkEnd w:id="17"/>
      <w:bookmarkStart w:id="2" w:name="_Toc20325"/>
      <w:r>
        <w:rPr>
          <w:rFonts w:ascii="方正小标宋简体" w:hAnsi="方正小标宋简体" w:cs="方正小标宋简体"/>
          <w:b/>
          <w:bCs/>
          <w:color w:val="000000"/>
          <w:sz w:val="44"/>
          <w:szCs w:val="44"/>
        </w:rPr>
        <w:t>本次检验项目</w:t>
      </w:r>
      <w:bookmarkEnd w:id="2"/>
    </w:p>
    <w:p w14:paraId="38672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bookmarkStart w:id="3" w:name="_Toc12149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餐饮食品</w:t>
      </w:r>
      <w:bookmarkEnd w:id="3"/>
    </w:p>
    <w:p w14:paraId="756F4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4" w:name="_Toc16925"/>
      <w:r>
        <w:rPr>
          <w:rFonts w:hint="eastAsia" w:ascii="宋体" w:hAnsi="宋体" w:eastAsia="宋体" w:cs="宋体"/>
          <w:color w:val="000000"/>
          <w:sz w:val="24"/>
          <w:szCs w:val="24"/>
        </w:rPr>
        <w:t>（一）抽检依据</w:t>
      </w:r>
      <w:bookmarkEnd w:id="4"/>
    </w:p>
    <w:p w14:paraId="39841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 xml:space="preserve"> GB 2760-2024《食品安全国家标准 食品添加剂使用标准》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要求。</w:t>
      </w:r>
    </w:p>
    <w:p w14:paraId="6EB7B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5" w:name="_Toc12876"/>
      <w:r>
        <w:rPr>
          <w:rFonts w:hint="eastAsia" w:ascii="宋体" w:hAnsi="宋体" w:eastAsia="宋体" w:cs="宋体"/>
          <w:color w:val="000000"/>
          <w:sz w:val="24"/>
          <w:szCs w:val="24"/>
        </w:rPr>
        <w:t>（二）检验项目</w:t>
      </w:r>
      <w:bookmarkEnd w:id="5"/>
    </w:p>
    <w:p w14:paraId="4A4D8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20" w:firstLineChars="300"/>
        <w:textAlignment w:val="auto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6" w:name="_Toc26427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胭脂红、诱惑红</w:t>
      </w:r>
    </w:p>
    <w:p w14:paraId="10664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bookmarkEnd w:id="6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炒货食品及坚果制品</w:t>
      </w:r>
    </w:p>
    <w:p w14:paraId="2B801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7" w:name="_Toc32297"/>
      <w:r>
        <w:rPr>
          <w:rFonts w:hint="eastAsia" w:ascii="宋体" w:hAnsi="宋体" w:eastAsia="宋体" w:cs="宋体"/>
          <w:color w:val="000000"/>
          <w:sz w:val="24"/>
          <w:szCs w:val="24"/>
        </w:rPr>
        <w:t>（一）抽检依据</w:t>
      </w:r>
      <w:bookmarkEnd w:id="7"/>
    </w:p>
    <w:p w14:paraId="42DF0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 xml:space="preserve"> GB 19300-2014《食品安全国家标准 坚果与籽类食品》、GB 2760-2024《食品安全国家标准 食品添加剂使用标准》、GB 2762-2022《食品安全国家标准 食品中污染物限量》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要求。</w:t>
      </w:r>
    </w:p>
    <w:p w14:paraId="041CE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8" w:name="_Toc1434"/>
      <w:r>
        <w:rPr>
          <w:rFonts w:hint="eastAsia" w:ascii="宋体" w:hAnsi="宋体" w:eastAsia="宋体" w:cs="宋体"/>
          <w:color w:val="000000"/>
          <w:sz w:val="24"/>
          <w:szCs w:val="24"/>
        </w:rPr>
        <w:t>（二）检验项目</w:t>
      </w:r>
      <w:bookmarkEnd w:id="8"/>
    </w:p>
    <w:p w14:paraId="3C131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outlineLvl w:val="0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bookmarkStart w:id="9" w:name="_Toc584"/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二氧化硫残留量、过氧化值(以脂肪计)、铅(以Pb计)、酸价(以脂肪计)(KOH)、甜蜜素(以环己基氨基磺酸计)、脱氢乙酸及其钠盐(以脱氢乙酸计)</w:t>
      </w:r>
    </w:p>
    <w:p w14:paraId="18E33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bookmarkEnd w:id="9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粮食加工品</w:t>
      </w:r>
    </w:p>
    <w:p w14:paraId="25CF4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0" w:name="_Toc11308"/>
      <w:r>
        <w:rPr>
          <w:rFonts w:hint="eastAsia" w:ascii="宋体" w:hAnsi="宋体" w:eastAsia="宋体" w:cs="宋体"/>
          <w:color w:val="000000"/>
          <w:sz w:val="24"/>
          <w:szCs w:val="24"/>
        </w:rPr>
        <w:t>（一）抽检依据</w:t>
      </w:r>
      <w:bookmarkEnd w:id="10"/>
    </w:p>
    <w:p w14:paraId="14462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GB 2760-2024《食品安全国家标准 食品添加剂使用标准》、GB 2762-2022《食品安全国家标准 食品中污染物限量》、产品明示标准和质量要求的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要求。</w:t>
      </w:r>
    </w:p>
    <w:p w14:paraId="2C4E1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1" w:name="_Toc1004"/>
      <w:r>
        <w:rPr>
          <w:rFonts w:hint="eastAsia" w:ascii="宋体" w:hAnsi="宋体" w:eastAsia="宋体" w:cs="宋体"/>
          <w:color w:val="000000"/>
          <w:sz w:val="24"/>
          <w:szCs w:val="24"/>
        </w:rPr>
        <w:t>（二）检验项目</w:t>
      </w:r>
      <w:bookmarkEnd w:id="11"/>
    </w:p>
    <w:p w14:paraId="37D2B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柠檬黄、铅(以Pb计)、日落黄</w:t>
      </w:r>
    </w:p>
    <w:p w14:paraId="0DD20D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肉制品</w:t>
      </w:r>
    </w:p>
    <w:p w14:paraId="1964D6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80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2" w:name="_Toc20566"/>
      <w:r>
        <w:rPr>
          <w:rFonts w:hint="eastAsia" w:ascii="宋体" w:hAnsi="宋体" w:eastAsia="宋体" w:cs="宋体"/>
          <w:color w:val="000000"/>
          <w:sz w:val="24"/>
          <w:szCs w:val="24"/>
        </w:rPr>
        <w:t>（一）抽检依据</w:t>
      </w:r>
      <w:bookmarkEnd w:id="12"/>
    </w:p>
    <w:p w14:paraId="25FAA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 xml:space="preserve"> GB 2730-2015《食品安全国家标准 腌腊肉制品》、GB 2760-2024《食品安全国家标准 食品添加剂使用标准》、GB 2762-2022《食品安全国家标准 食品中污染物限量》、GB 31607-2021《食品安全国家标准 散装即食食品中致病菌限量》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要求。</w:t>
      </w:r>
    </w:p>
    <w:p w14:paraId="02881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3" w:name="_Toc24342"/>
      <w:r>
        <w:rPr>
          <w:rFonts w:hint="eastAsia" w:ascii="宋体" w:hAnsi="宋体" w:eastAsia="宋体" w:cs="宋体"/>
          <w:color w:val="000000"/>
          <w:sz w:val="24"/>
          <w:szCs w:val="24"/>
        </w:rPr>
        <w:t>（二）检验项目</w:t>
      </w:r>
      <w:bookmarkEnd w:id="13"/>
    </w:p>
    <w:p w14:paraId="682BE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outlineLvl w:val="0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bookmarkStart w:id="14" w:name="_Toc2862"/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镉(以Cd计)、铬(以Cr计)、过氧化值(以脂肪计)、金黄色葡萄球菌、柠檬黄、日落黄、脱氢乙酸及其钠盐(以脱氢乙酸计)、亚硝酸盐(以亚硝酸钠计)、胭脂红、诱惑红、总砷(以As计)</w:t>
      </w:r>
    </w:p>
    <w:p w14:paraId="1F777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bookmarkEnd w:id="14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食用农产品</w:t>
      </w:r>
    </w:p>
    <w:p w14:paraId="46452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5" w:name="_Toc16712"/>
      <w:r>
        <w:rPr>
          <w:rFonts w:hint="eastAsia" w:ascii="宋体" w:hAnsi="宋体" w:eastAsia="宋体" w:cs="宋体"/>
          <w:color w:val="000000"/>
          <w:sz w:val="24"/>
          <w:szCs w:val="24"/>
        </w:rPr>
        <w:t>（一）抽检依据</w:t>
      </w:r>
      <w:bookmarkEnd w:id="15"/>
    </w:p>
    <w:p w14:paraId="0C333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60" w:firstLineChars="300"/>
        <w:textAlignment w:val="auto"/>
        <w:rPr>
          <w:rFonts w:hint="eastAsia" w:ascii="宋体" w:hAnsi="宋体" w:eastAsia="宋体" w:cs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要求。</w:t>
      </w:r>
    </w:p>
    <w:p w14:paraId="75147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641" w:leftChars="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6" w:name="_Toc25990"/>
      <w:r>
        <w:rPr>
          <w:rFonts w:hint="eastAsia" w:ascii="宋体" w:hAnsi="宋体" w:eastAsia="宋体" w:cs="宋体"/>
          <w:color w:val="000000"/>
          <w:sz w:val="24"/>
          <w:szCs w:val="24"/>
        </w:rPr>
        <w:t>（二）检验项目</w:t>
      </w:r>
      <w:bookmarkEnd w:id="16"/>
    </w:p>
    <w:p w14:paraId="39CF45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地西泮、多西环素、恩诺沙星、呋喃妥因代谢物、呋喃西林代谢物、呋喃唑酮代谢物、磺胺类(总量)、孔雀石绿、土霉素/金霉素/四环素(组合含量)、氧氟沙星</w:t>
      </w:r>
    </w:p>
    <w:sectPr>
      <w:pgSz w:w="11900" w:h="16820"/>
      <w:pgMar w:top="1134" w:right="1134" w:bottom="1134" w:left="1134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94B37"/>
    <w:multiLevelType w:val="singleLevel"/>
    <w:tmpl w:val="44194B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ODMzMzc3MzA2NzMwODJlYWE0YjE5NGNkNWIyN2EifQ=="/>
  </w:docVars>
  <w:rsids>
    <w:rsidRoot w:val="00A77B3E"/>
    <w:rsid w:val="0006782B"/>
    <w:rsid w:val="0009267A"/>
    <w:rsid w:val="00114FA5"/>
    <w:rsid w:val="00141DA9"/>
    <w:rsid w:val="0018484D"/>
    <w:rsid w:val="002741A8"/>
    <w:rsid w:val="002A4DFE"/>
    <w:rsid w:val="00380FB1"/>
    <w:rsid w:val="0061658B"/>
    <w:rsid w:val="00713EBB"/>
    <w:rsid w:val="00862AA0"/>
    <w:rsid w:val="008C12A2"/>
    <w:rsid w:val="00A77B3E"/>
    <w:rsid w:val="00AE37D1"/>
    <w:rsid w:val="00B560D9"/>
    <w:rsid w:val="00CA2A55"/>
    <w:rsid w:val="00CB74A4"/>
    <w:rsid w:val="00D065AD"/>
    <w:rsid w:val="00D91A72"/>
    <w:rsid w:val="00EE7AD2"/>
    <w:rsid w:val="00F57743"/>
    <w:rsid w:val="00FB14FF"/>
    <w:rsid w:val="00FF56EE"/>
    <w:rsid w:val="045D76CE"/>
    <w:rsid w:val="0DC728EF"/>
    <w:rsid w:val="126B06F3"/>
    <w:rsid w:val="13431FF0"/>
    <w:rsid w:val="1D0E7BE8"/>
    <w:rsid w:val="350E769E"/>
    <w:rsid w:val="36D06EE3"/>
    <w:rsid w:val="3FAA1D93"/>
    <w:rsid w:val="4A3E76AA"/>
    <w:rsid w:val="4AD72BC3"/>
    <w:rsid w:val="4B78366B"/>
    <w:rsid w:val="4DFA7BDD"/>
    <w:rsid w:val="565B2357"/>
    <w:rsid w:val="5D6B7C35"/>
    <w:rsid w:val="60BF606B"/>
    <w:rsid w:val="6C9D2ADA"/>
    <w:rsid w:val="755371D5"/>
    <w:rsid w:val="79552B0F"/>
    <w:rsid w:val="798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qFormat="1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2"/>
      <w:lang w:eastAsia="zh-CN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0"/>
  </w:style>
  <w:style w:type="paragraph" w:styleId="6">
    <w:name w:val="toc 2"/>
    <w:basedOn w:val="1"/>
    <w:next w:val="1"/>
    <w:semiHidden/>
    <w:unhideWhenUsed/>
    <w:qFormat/>
    <w:uiPriority w:val="0"/>
    <w:pPr>
      <w:ind w:left="420" w:leftChars="200"/>
    </w:pPr>
  </w:style>
  <w:style w:type="character" w:customStyle="1" w:styleId="9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8"/>
    <w:link w:val="2"/>
    <w:qFormat/>
    <w:uiPriority w:val="0"/>
    <w:rPr>
      <w:rFonts w:ascii="宋体" w:hAnsi="Courier New" w:cs="Courier New"/>
      <w:kern w:val="2"/>
      <w:sz w:val="21"/>
      <w:szCs w:val="22"/>
      <w:lang w:eastAsia="zh-CN"/>
    </w:rPr>
  </w:style>
  <w:style w:type="paragraph" w:customStyle="1" w:styleId="13">
    <w:name w:val="Table Paragraph"/>
    <w:basedOn w:val="1"/>
    <w:qFormat/>
    <w:uiPriority w:val="0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  <w:style w:type="character" w:customStyle="1" w:styleId="14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71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8">
    <w:name w:val="font6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683</Words>
  <Characters>810</Characters>
  <Lines>18</Lines>
  <Paragraphs>26</Paragraphs>
  <TotalTime>78</TotalTime>
  <ScaleCrop>false</ScaleCrop>
  <LinksUpToDate>false</LinksUpToDate>
  <CharactersWithSpaces>839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2022-11-29T09:41:00Z</dcterms:created>
  <dc:creator>lenovo</dc:creator>
  <cp:lastModifiedBy>中国雨田</cp:lastModifiedBy>
  <cp:lastPrinted>2022-12-05T02:51:00Z</cp:lastPrinted>
  <dcterms:modified xsi:type="dcterms:W3CDTF">2026-01-29T02:50:18Z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08009611CE2045389CD0F0F09C2361B2_13</vt:lpwstr>
  </property>
  <property fmtid="{D5CDD505-2E9C-101B-9397-08002B2CF9AE}" pid="4" name="KSOTemplateDocerSaveRecord">
    <vt:lpwstr>eyJoZGlkIjoiZjg5YzBmMWJjZGJiZTQ3M2JiYTNkYzk0NzJlMTU2MzQiLCJ1c2VySWQiOiIzMjcwMDk4MjkifQ==</vt:lpwstr>
  </property>
</Properties>
</file>