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达州市通川区矿产资源总体规划</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（2021～2025年）</w:t>
      </w: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解读</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一、编制背景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全面贯彻习近平总书记对自然资源管理和四川工作的系列重要指示精神，以省委、省政府“一干多支、五区协同”发展战略为重要支撑，遵循省、市矿产资源总体规划，服务发展大局，以资源安全保障为目标，以提升矿业发展质量和效益为中心，以矿产资源供给侧结构性改革为主线，稳中求进，激发矿产资源开发新活力，优化矿产资源开发保护格局，强化资源保护和合理利用，推进矿业转型升级、开发合作和资源惠民，为通川区统筹发展提供有力的矿产资源保障，结合通川区实际情况编制了《达州市通川区矿产资源总体规划（2021～2025年）》（以下简称《规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二、编制依据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依据《中华人民共和国矿产资源法》《自然资源部关于全面开展矿产资源规划（2021～2025年）编制工作的通知》《四川省自然资源厅关于开展全省矿产资源规划（2021～2025年）编制工作的通知》《达州市自然资源和规划局关于开展全市矿产资源规划（2021～2025年）编制工作的通知》《四川省市县级矿产资源总体规划编制指南》等相关法律法规和文件，《达州市通川区国民经济和社会发展“十四五”规划纲要》《四川省矿产资源总体规划(2021～2025年)》《达州市矿产资源总体规划(2021～2025年)》对达州市通川区矿产资源总体规划的要求和指标，编制了《达州市通川区矿产资源总体规划(2021～2025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三、规划目标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规划》是通川区落实国家资源安全战略、加强监督和改善矿产资源管理的重要手段，是依法审批和监督管理地质勘查、矿产资源开发利用和保护的重要依据，着力落实细化上级规划部署要求，确保规划目标指标和任务落地，空间布局落地、勘查开发准入条件和管理措施落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规划》是落实上级规划的地质调查与勘查，加快地质找矿步伐。通川区全境为钾盐和煤层气重点勘查区；在本次规划期间，本级细化落实上级规划，协助完成上级规划任务，强化资源保障能力，实现找矿突破，为国民经济建设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规划》是合理优化调控开采布局、加快绿色矿业发展建设、调整中大型矿山所占的比例、提高矿山企业矿山资源节约与综合利用水平、改善矿山地质环境和土地复垦状况、增强矿产资源供给保障能力等方面得到优化和提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四、规划保障措施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bookmarkStart w:id="0" w:name="_Toc17992"/>
      <w:bookmarkStart w:id="1" w:name="_Toc183417354"/>
      <w:bookmarkStart w:id="2" w:name="_Toc172606457"/>
      <w:r>
        <w:rPr>
          <w:rFonts w:hint="eastAsia" w:ascii="方正楷体简体" w:hAnsi="方正楷体简体" w:eastAsia="方正楷体简体" w:cs="方正楷体简体"/>
          <w:sz w:val="32"/>
          <w:szCs w:val="32"/>
        </w:rPr>
        <w:t>1.落实规划实施责任分工</w:t>
      </w:r>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落实规划实施管理领导责任制，强化领导干部责任意识，督促规划实施责任单位、责任人逐项抓好责任目标的落实，及时协调、化解责任目标实施过程中出现的矛盾与困难。落实规划实施目标责任制，按照管理职责将规划目标任务进行分解落实，明确责任分工。</w:t>
      </w:r>
    </w:p>
    <w:bookmarkEnd w:id="1"/>
    <w:bookmarkEnd w:id="2"/>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bookmarkStart w:id="3" w:name="_Toc27461"/>
      <w:r>
        <w:rPr>
          <w:rFonts w:hint="eastAsia" w:ascii="方正楷体简体" w:hAnsi="方正楷体简体" w:eastAsia="方正楷体简体" w:cs="方正楷体简体"/>
          <w:sz w:val="32"/>
          <w:szCs w:val="32"/>
        </w:rPr>
        <w:t>2.健全规划实施评估调整机制</w:t>
      </w:r>
      <w:bookmarkEnd w:id="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然资源主管部门要根据需要或按照上级机关统一部署，加强矿业形势分析、产业发展的统计和监测，强化对规划实施和环境影响的跟踪分析和动态评估，掌握总量调控、布局结构调整等主要目标和任务完成进度，提出改进、调整和修订规划的合理建议，并向同级人民政府和上级自然资源主管部门报送评估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严格执行规划调整的有关规定，涉及约束性指标调整、勘查开发重大布局结构调整、禁止和限制规划区边界调整、新立矿产资源勘查开发重大专项和工程的，必须按照《矿产资源规划编制实施办法》调整。对依据其他管理部门规定划定的禁止和限制区，其边界范围可按相关主管部门意见进行调整，并报原审批机关备案。根据地质找矿新发现、新成果，确需新增勘查开采规划区块，或需对已有勘查开采规划区块范围进行调整的，可由原规划编制机关对其必要性组织论证，审定调整方案，报原审批机关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bookmarkStart w:id="4" w:name="_Toc6070"/>
      <w:r>
        <w:rPr>
          <w:rFonts w:hint="eastAsia" w:ascii="方正楷体简体" w:hAnsi="方正楷体简体" w:eastAsia="方正楷体简体" w:cs="方正楷体简体"/>
          <w:sz w:val="32"/>
          <w:szCs w:val="32"/>
        </w:rPr>
        <w:t>3.强化规划实施监督检查</w:t>
      </w:r>
      <w:bookmarkEnd w:id="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严格执行规划实施监督检查制度，将规划执行情况纳入自然资源执法监察的重要内容，强化对规划确定的重点区域、重要任务和指标、重大工程和项目、重大政策措施执行落实情况监督，定期公布规划执行情况。对违反法律法规和矿产资源规划的行为，要加大纠正和查处力度。构建地方人大、政府、自然资源管理部门和公众共同参与的规划实施监督体系。建立信息反馈制度，及时向同级人民政府和上级自然资源主管部门报告规划执行情况监督检查结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简体" w:hAnsi="方正楷体简体" w:eastAsia="方正楷体简体" w:cs="方正楷体简体"/>
          <w:sz w:val="32"/>
          <w:szCs w:val="32"/>
        </w:rPr>
      </w:pPr>
      <w:bookmarkStart w:id="5" w:name="_Toc5913"/>
      <w:r>
        <w:rPr>
          <w:rFonts w:hint="eastAsia" w:ascii="方正楷体简体" w:hAnsi="方正楷体简体" w:eastAsia="方正楷体简体" w:cs="方正楷体简体"/>
          <w:sz w:val="32"/>
          <w:szCs w:val="32"/>
        </w:rPr>
        <w:t>4.提高规划管理信息化水平</w:t>
      </w:r>
      <w:bookmarkEnd w:id="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设标准统一矿产资源规划数据库，将总体规划全部纳入数据库。建立数据库更新机制，建设矿产资源规划管理信息系统，切实发挥规划数据库在矿政管理中的作用。加强规划数据库与其他矿政管理数据库的互联互通，做好规划信息与相关信息资源的整合，并及时纳入自然资源“一张图”，为矿产资源管理提供规划信息支撑。</w:t>
      </w:r>
    </w:p>
    <w:p>
      <w:bookmarkStart w:id="6" w:name="_GoBack"/>
      <w:bookmarkEnd w:id="6"/>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B4F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2022-06-23T16:21:44Z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